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settings.xml" ContentType="application/vnd.openxmlformats-officedocument.wordprocessingml.settings+xml"/>
  <Override PartName="/customXml/item1.xml" ContentType="application/xml"/>
  <Override PartName="/customXml/itemProps4.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3.xml" ContentType="application/xml"/>
  <Override PartName="/customXml/item5.xml" ContentType="application/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F7580495" Type="http://schemas.openxmlformats.org/officeDocument/2006/relationships/officeDocument" Target="word/document.xml"/><Relationship Id="R477127EB"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body>
    <w:p>
      <w:pPr>
        <w:spacing w:before="0" w:after="0" w:line="259" w:lineRule="auto"/>
        <w:ind w:left="-1440" w:right="10480" w:firstLine="0"/>
        <w:jc w:val="left"/>
      </w:pPr>
      <w:r>
        <w:drawing>
          <wp:anchor allowOverlap="0" relativeHeight="0" locked="0" simplePos="0" layoutInCell="1" behindDoc="0">
            <wp:simplePos y="0" x="0"/>
            <wp:positionH relativeFrom="page">
              <wp:posOffset>0</wp:posOffset>
            </wp:positionH>
            <wp:positionV relativeFrom="page">
              <wp:posOffset>25401</wp:posOffset>
            </wp:positionV>
            <wp:extent cx="7568185" cy="10646665"/>
            <wp:effectExtent l="0" t="0" r="0" b="0"/>
            <wp:wrapTopAndBottom/>
            <wp:docPr id="79033" name="Picture 79033"/>
            <wp:cNvGraphicFramePr/>
            <a:graphic>
              <a:graphicData uri="http://schemas.openxmlformats.org/drawingml/2006/picture">
                <pic:pic xmlns:pic="http://schemas.openxmlformats.org/drawingml/2006/picture">
                  <pic:nvPicPr>
                    <pic:cNvPr id="79033" name="Picture 79033"/>
                    <pic:cNvPicPr/>
                  </pic:nvPicPr>
                  <pic:blipFill>
                    <a:blip r:embed="rId17"/>
                    <a:stretch>
                      <a:fillRect/>
                    </a:stretch>
                  </pic:blipFill>
                  <pic:spPr>
                    <a:xfrm>
                      <a:off x="0" y="0"/>
                      <a:ext cx="7568185" cy="10646665"/>
                    </a:xfrm>
                    <a:prstGeom prst="rect">
                      <a:avLst/>
                    </a:prstGeom>
                  </pic:spPr>
                </pic:pic>
              </a:graphicData>
            </a:graphic>
          </wp:anchor>
        </w:drawing>
      </w:r>
    </w:p>
    <w:p>
      <w:pPr>
        <w:sectPr>
          <w:footerReference w:type="even" r:id="rId3"/>
          <w:footerReference w:type="default" r:id="rId2"/>
          <w:footerReference w:type="first" r:id="rId1"/>
          <w:footnotePr>
            <w:numRestart w:val="eachPage"/>
          </w:footnotePr>
          <w:pgSz w:w="11920" w:h="16840" w:orient="portrait"/>
          <w:pgMar w:left="1440" w:top="1440" w:right="1440" w:bottom="1440"/>
          <w:cols/>
        </w:sectPr>
      </w:pPr>
    </w:p>
    <w:p>
      <w:pPr>
        <w:spacing w:before="0" w:after="40" w:line="259" w:lineRule="auto"/>
        <w:ind w:left="0" w:right="0" w:firstLine="0"/>
        <w:jc w:val="left"/>
      </w:pPr>
      <w:r>
        <w:rPr>
          <w:rFonts w:cs="Arial" w:hAnsi="Arial" w:eastAsia="Arial" w:ascii="Arial"/>
          <w:b w:val="1"/>
        </w:rPr>
        <w:t xml:space="preserve"> </w:t>
      </w:r>
    </w:p>
    <w:p>
      <w:pPr>
        <w:spacing w:before="0" w:after="86" w:line="259" w:lineRule="auto"/>
        <w:ind w:left="0" w:right="0" w:firstLine="0"/>
        <w:jc w:val="left"/>
      </w:pPr>
      <w:r>
        <w:rPr>
          <w:rFonts w:cs="Arial" w:hAnsi="Arial" w:eastAsia="Arial" w:ascii="Arial"/>
          <w:b w:val="1"/>
        </w:rPr>
        <w:t xml:space="preserve"> </w:t>
      </w:r>
    </w:p>
    <w:p>
      <w:pPr>
        <w:spacing w:before="0" w:after="3" w:line="259" w:lineRule="auto"/>
        <w:ind w:left="-5" w:right="0"/>
        <w:jc w:val="left"/>
      </w:pPr>
      <w:r>
        <w:rPr>
          <w:rFonts w:cs="Calibri" w:hAnsi="Calibri" w:eastAsia="Calibri" w:ascii="Calibri"/>
          <w:b w:val="1"/>
          <w:sz w:val="28"/>
        </w:rPr>
        <w:t xml:space="preserve">1. Context </w:t>
      </w:r>
    </w:p>
    <w:p>
      <w:pPr>
        <w:spacing w:before="0" w:after="0" w:line="259" w:lineRule="auto"/>
        <w:ind w:left="0" w:right="0" w:firstLine="0"/>
        <w:jc w:val="left"/>
      </w:pPr>
      <w:r>
        <w:rPr>
          <w:rFonts w:cs="Calibri" w:hAnsi="Calibri" w:eastAsia="Calibri" w:ascii="Calibri"/>
          <w:b w:val="1"/>
          <w:sz w:val="24"/>
        </w:rPr>
        <w:t xml:space="preserve"> </w:t>
      </w:r>
    </w:p>
    <w:p>
      <w:pPr>
        <w:pStyle w:val="heading1"/>
        <w:spacing w:before="0" w:after="0" w:line="259" w:lineRule="auto"/>
        <w:ind w:left="-5"/>
      </w:pPr>
      <w:r>
        <w:rPr/>
        <w:t xml:space="preserve">South Serbia </w:t>
      </w:r>
    </w:p>
    <w:p>
      <w:pPr>
        <w:pStyle w:val="normal"/>
        <w:spacing w:before="0" w:after="0" w:line="228" w:lineRule="auto"/>
        <w:ind w:left="-4" w:right="48"/>
      </w:pPr>
      <w:r>
        <w:rPr/>
        <w:t xml:space="preserve">The region of South Serbia is administratively divided into two Districts (Jablanica and Pčinja), with thirteen municipalities, and has a population of approximately 470,000 people. This corresponds to a NUTS level 3 region</w:t>
      </w:r>
      <w:r>
        <w:rPr>
          <w:sz w:val="20"/>
          <w:vertAlign w:val="superscript"/>
        </w:rPr>
        <w:footnoteReference w:id="16"/>
      </w:r>
      <w:r>
        <w:rPr/>
        <w:t xml:space="preserve"> in line with EU criteria. Pcinja District consists of 7 municipalities one of which is the municipality of Surdulica on whose territory the Vlasina lake, with its surrounding protected area of nature, is situated.  </w:t>
      </w:r>
    </w:p>
    <w:p>
      <w:pPr>
        <w:spacing w:before="0" w:after="0" w:line="259" w:lineRule="auto"/>
        <w:ind w:left="0" w:right="0" w:firstLine="0"/>
        <w:jc w:val="left"/>
      </w:pPr>
      <w:r>
        <w:rPr/>
        <w:t xml:space="preserve"> </w:t>
      </w:r>
    </w:p>
    <w:p>
      <w:pPr>
        <w:pStyle w:val="heading1"/>
        <w:spacing w:before="0" w:after="0" w:line="259" w:lineRule="auto"/>
        <w:ind w:left="-5"/>
      </w:pPr>
      <w:r>
        <w:rPr/>
        <w:t xml:space="preserve">Municipality of Surdulica </w:t>
      </w:r>
    </w:p>
    <w:p>
      <w:pPr>
        <w:pStyle w:val="normal"/>
        <w:spacing w:before="0" w:after="55" w:line="228" w:lineRule="auto"/>
        <w:ind w:left="-4" w:right="48"/>
      </w:pPr>
      <w:r>
        <w:rPr>
          <w:rFonts w:cs="Calibri" w:hAnsi="Calibri" w:eastAsia="Calibri" w:ascii="Calibri"/>
          <w:b w:val="1"/>
        </w:rPr>
        <w:t xml:space="preserve">Population: </w:t>
      </w:r>
      <w:r>
        <w:rPr/>
        <w:t xml:space="preserve">Out of 22,190 inhabitants in Surdulica municipality 49.18% lives in the main town area, while 50.81% live in surrounding villages. There are 41 settlements. The ethnic composition is: 82.35 % Serbs, 9.01 % Roma, 4.52% Bulgarian, 4.11% other. There were 24,489 inhabitants in 1999. According to the last census in 2002 the number of inhabitants fell to 22,190, indicating the trend of population decrease (2,299 inhabitants in 3 years). Possible causes are lower birth rate, increase of death rate and migration towards bigger economic centers.</w:t>
      </w:r>
      <w:r>
        <w:rPr>
          <w:rFonts w:cs="Calibri" w:hAnsi="Calibri" w:eastAsia="Calibri" w:ascii="Calibri"/>
          <w:b w:val="1"/>
        </w:rPr>
        <w:t xml:space="preserve"> </w:t>
      </w:r>
    </w:p>
    <w:p>
      <w:pPr>
        <w:spacing w:before="0" w:after="109" w:line="259" w:lineRule="auto"/>
        <w:ind w:left="-4" w:right="0"/>
        <w:jc w:val="left"/>
      </w:pPr>
      <w:r>
        <w:rPr>
          <w:rFonts w:cs="Calibri" w:hAnsi="Calibri" w:eastAsia="Calibri" w:ascii="Calibri"/>
          <w:b w:val="1"/>
        </w:rPr>
        <w:t xml:space="preserve">General Indicators: </w:t>
      </w:r>
    </w:p>
    <w:p>
      <w:pPr>
        <w:pStyle w:val="normal"/>
        <w:numPr>
          <w:ilvl w:val="0"/>
          <w:numId w:val="1"/>
        </w:numPr>
        <w:spacing w:before="0" w:after="118" w:line="228" w:lineRule="auto"/>
        <w:ind w:left="360" w:right="48" w:hanging="360"/>
      </w:pPr>
      <w:r>
        <w:rPr/>
        <w:t xml:space="preserve">% of population with university degree: 3.0%  </w:t>
      </w:r>
    </w:p>
    <w:p>
      <w:pPr>
        <w:pStyle w:val="normal"/>
        <w:numPr>
          <w:ilvl w:val="0"/>
          <w:numId w:val="1"/>
        </w:numPr>
        <w:spacing w:before="0" w:after="118" w:line="228" w:lineRule="auto"/>
        <w:ind w:left="360" w:right="48" w:hanging="360"/>
      </w:pPr>
      <w:r>
        <w:rPr/>
        <w:t xml:space="preserve">No of inhabitants per physician: 281 </w:t>
      </w:r>
    </w:p>
    <w:p>
      <w:pPr>
        <w:pStyle w:val="normal"/>
        <w:numPr>
          <w:ilvl w:val="0"/>
          <w:numId w:val="1"/>
        </w:numPr>
        <w:spacing w:before="0" w:after="118" w:line="228" w:lineRule="auto"/>
        <w:ind w:left="360" w:right="48" w:hanging="360"/>
      </w:pPr>
      <w:r>
        <w:rPr/>
        <w:t xml:space="preserve">Income as % of Serbian national average: 83.9% </w:t>
      </w:r>
    </w:p>
    <w:p>
      <w:pPr>
        <w:pStyle w:val="normal"/>
        <w:numPr>
          <w:ilvl w:val="0"/>
          <w:numId w:val="1"/>
        </w:numPr>
        <w:spacing w:before="0" w:after="117" w:line="228" w:lineRule="auto"/>
        <w:ind w:left="360" w:right="48" w:hanging="360"/>
      </w:pPr>
      <w:r>
        <w:rPr/>
        <w:t xml:space="preserve">Employed per 1000 inhabitants: 274 </w:t>
      </w:r>
    </w:p>
    <w:p>
      <w:pPr>
        <w:pStyle w:val="normal"/>
        <w:numPr>
          <w:ilvl w:val="0"/>
          <w:numId w:val="1"/>
        </w:numPr>
        <w:spacing w:before="0" w:after="32" w:line="228" w:lineRule="auto"/>
        <w:ind w:left="360" w:right="48" w:hanging="360"/>
      </w:pPr>
      <w:r>
        <w:rPr/>
        <w:t xml:space="preserve">% active in agricultural sector: 2.7 % </w:t>
      </w:r>
    </w:p>
    <w:p>
      <w:pPr>
        <w:pStyle w:val="normal"/>
        <w:spacing w:before="0" w:after="55" w:line="228" w:lineRule="auto"/>
        <w:ind w:left="-4" w:right="48"/>
      </w:pPr>
      <w:r>
        <w:rPr>
          <w:rFonts w:cs="Calibri" w:hAnsi="Calibri" w:eastAsia="Calibri" w:ascii="Calibri"/>
          <w:b w:val="1"/>
        </w:rPr>
        <w:t xml:space="preserve">Development opportunities and potentials: </w:t>
      </w:r>
      <w:r>
        <w:rPr/>
        <w:t xml:space="preserve">Vlasina Lake is the biggest natural advantage of the municipality of Surdulica. It has beautiful, intact nature and favorable geographical position. It is near Bulgaria, FYRM, and Corridor 10. There are three airports situated within 100 km distance (Nis, Sofia, Skopje). It has natural resources for the development of tourism, investment and financial exploitation. Planning documentation is being systematically developed to enable these activities. </w:t>
      </w:r>
      <w:r>
        <w:rPr>
          <w:rFonts w:cs="Calibri" w:hAnsi="Calibri" w:eastAsia="Calibri" w:ascii="Calibri"/>
          <w:b w:val="1"/>
        </w:rPr>
        <w:t xml:space="preserve"> </w:t>
      </w:r>
    </w:p>
    <w:p>
      <w:pPr>
        <w:pStyle w:val="normal"/>
        <w:spacing w:before="0" w:after="55" w:line="228" w:lineRule="auto"/>
        <w:ind w:left="-4" w:right="48"/>
      </w:pPr>
      <w:r>
        <w:rPr/>
        <w:t xml:space="preserve">Other natural resources, such as water, are also an advantage for sustainable exploitation (Hydro power plant Vlasina and water factory “Rosa”). </w:t>
      </w:r>
    </w:p>
    <w:p>
      <w:pPr>
        <w:pStyle w:val="normal"/>
        <w:spacing w:before="0" w:after="0" w:line="228" w:lineRule="auto"/>
        <w:ind w:left="-4" w:right="48"/>
      </w:pPr>
      <w:r>
        <w:rPr>
          <w:rFonts w:cs="Calibri" w:hAnsi="Calibri" w:eastAsia="Calibri" w:ascii="Calibri"/>
          <w:b w:val="1"/>
        </w:rPr>
        <w:t xml:space="preserve">Vlasina Lake</w:t>
      </w:r>
      <w:r>
        <w:rPr/>
        <w:t xml:space="preserve"> is the principal tourism destination in the municipality and one of the primary attractions of the region for domestic visitors. It is located some 20kms east of Surdulica and 30kms from the E75. The lake is roughly 10kms long and 3 km wide and is the second largest lake in Serbia located at the highest altitude (1211m) in the country. The area was dammed in the late 1940’s and is used for hydro-electric power generation. The Vlasina plateau area is surrounded by the mountains (Cemernik, Vardenik and Gramada) and is part forested and part grassland. There are two small islands on the lake. In 2005, the government designated the area as a protected nature reserve of special interest. At the beginning of this year it was submitted as a candidate for Ramsar wetlands protection. Wildlife in the area include wolves, wild boar, deer, grey heron, cormorant, tufted duck and other migrating birds, as well as some rare species of mammals and reptiles. </w:t>
      </w:r>
    </w:p>
    <w:p>
      <w:pPr>
        <w:spacing w:before="0" w:after="0" w:line="259" w:lineRule="auto"/>
        <w:ind w:left="0" w:right="0" w:firstLine="0"/>
        <w:jc w:val="left"/>
      </w:pPr>
      <w:r>
        <w:rPr/>
        <w:t xml:space="preserve"> </w:t>
      </w:r>
    </w:p>
    <w:p>
      <w:pPr>
        <w:pStyle w:val="heading2"/>
        <w:shd w:val="clear" w:color="auto" w:fill="auto"/>
        <w:spacing w:before="0" w:after="0" w:line="259" w:lineRule="auto"/>
        <w:ind w:left="-4"/>
      </w:pPr>
      <w:r>
        <w:rPr/>
        <w:t xml:space="preserve">Environment  </w:t>
      </w:r>
    </w:p>
    <w:p>
      <w:pPr>
        <w:pStyle w:val="normal"/>
        <w:spacing w:before="0" w:after="55" w:line="228" w:lineRule="auto"/>
        <w:ind w:left="-4" w:right="48"/>
      </w:pPr>
      <w:r>
        <w:rPr/>
        <w:t xml:space="preserve">The lake lies on a mountain plateau called Vlasina, on the altitude of 1211m. Its average depth is 10.5 m, while the maximum depth is 34 m, near the dam. The central part of the lake is 10–15 m deep. Its eastern coastline is jagged, with two bays: larger Biljanina Bara and smaller Murin zaliv separated by Taraija peninsula. The southern part of the island, between Bratanov del peninsula and the mouth of Božićki kanal is shallower (2–6 m), with swampy coasts and peat.  </w:t>
      </w:r>
    </w:p>
    <w:p>
      <w:pPr>
        <w:pStyle w:val="normal"/>
        <w:spacing w:before="0" w:after="55" w:line="228" w:lineRule="auto"/>
        <w:ind w:left="-4" w:right="48"/>
      </w:pPr>
      <w:r>
        <w:rPr/>
        <w:t xml:space="preserve">The dam is located in the northwestern part of the lake. It is an embankment dam, built of concrete core and earth-filled cover. It was built from 1946 to 1948, when the water was first accumulated. It is 239 m long, 139 m wide at the base and 5.5 m at the top, and 34 m high (of which 25.7 m is above the ground). The accumulation it creates has around 1.65 km³ in volume. Of those, 1.05 km³ is viable for hydroelectric exploitation. The system of 4 hydroelectric plants called Vrla (I-IV) lies downstream the lake, on the </w:t>
      </w:r>
      <w:r>
        <w:rPr/>
        <w:t xml:space="preserve">Vlasina River, with the total capacity of 125 MW. A part of the hydroelectric system is the pump station "Lisina", which pumps in the water from the nearby Lisina Lake, chiefly in summer months. The Vlasina Lake is also fed by numerous creeks, descending from the surrounding mountains. The water level varies, depending on the water influx and drainage of the dam. Two artificial canals enter the lake near the dam: Dugi del (7.84 ha) and Stratorija (1.82 ha). Along with those islands, one of the lake's most famous features are the floating islands, occurring when the water during high levels breaks off the loose chunks of peat off the shores, 0.5–2 m thick. Driven by the wind, they float from one shore of the lake to another, carrying the flora and fauna, and serving as the shelter and food source for the fish underneath. For that reason, they are an attractive location for fishermen. The largest such island has the area of 8 ha, and is referred to as "Moby-Dick" by the local population. It is overgrown with dense vegetation, including birch trees. However, most of the time they are anchored along the shores.  </w:t>
      </w:r>
    </w:p>
    <w:p>
      <w:pPr>
        <w:pStyle w:val="normal"/>
        <w:spacing w:before="0" w:after="55" w:line="228" w:lineRule="auto"/>
        <w:ind w:left="-4" w:right="48"/>
      </w:pPr>
      <w:r>
        <w:rPr/>
        <w:t xml:space="preserve">The temperature of the water reaches 21-23 °C in the summer months, suitable for refreshing swimming. It freezes in the winter, and the ice crust can be as much as 2 meters thick. The temperature also varies with location and depth. In the village of Topli Do south of the lake, there is a water factory "Vlasinka", producing the high-quality oligomineral water "Vlasinska Rosa", a renowned brand in Serbia. It was purchased by the Coca-Cola SystemSystem in 2005.  </w:t>
      </w:r>
    </w:p>
    <w:p>
      <w:pPr>
        <w:pStyle w:val="normal"/>
        <w:spacing w:before="0" w:after="55" w:line="228" w:lineRule="auto"/>
        <w:ind w:left="-4" w:right="48"/>
      </w:pPr>
      <w:r>
        <w:rPr/>
        <w:t xml:space="preserve">The lake's flora and fauna are rich, and include several endemic species. It features over 850 species of flora, 180 species of vertebrates, including rare species of mammals, reptiles and amphibians. The lake's surroundings are a mixture of meadows and high-altitude forests, especially birch, beech, pine and juniper (the former two indigenous, and the latter chiefly introduced by forestation of the western shore). The indigenous tree of downy birch and yellow beech (characteristic for its ever-yellow leaf color) stand out among the species of trees. Sundew is the only carnivorous plant in Serbia and is unique to Vlasina region. Birdlife includes gray heron, tufted duck and cormorant.  </w:t>
      </w:r>
    </w:p>
    <w:p>
      <w:pPr>
        <w:pStyle w:val="normal"/>
        <w:spacing w:before="0" w:after="55" w:line="228" w:lineRule="auto"/>
        <w:ind w:left="-4" w:right="48"/>
      </w:pPr>
      <w:r>
        <w:rPr/>
        <w:t xml:space="preserve">The lake is home to numerous species of fish. Species include brown and Ohrid trout, perch, minnow, barbell, grass carp, common carp, crucian carp, tench, roach and others. Ohrid trout was stocked and it successfully adapted to the environment, making it a popular destination for fishing.  </w:t>
      </w:r>
    </w:p>
    <w:p>
      <w:pPr>
        <w:pStyle w:val="normal"/>
        <w:spacing w:before="0" w:after="278" w:line="228" w:lineRule="auto"/>
        <w:ind w:left="-4" w:right="48"/>
      </w:pPr>
      <w:r>
        <w:rPr/>
        <w:t xml:space="preserve">By the decision of the Government of Serbia in 2006, the Vlasina region is protected as a nature preserve of special interest of category I. The total protected area covers 12,741 ha, of which 9.6 are in the 1st level of protection (islands of Dugi Del and Stratorija), 4,354 in the 2nd level and 8,377 in the 3rd level of protection.  </w:t>
      </w:r>
    </w:p>
    <w:p>
      <w:pPr>
        <w:pStyle w:val="heading2"/>
        <w:shd w:val="clear" w:color="auto" w:fill="auto"/>
        <w:spacing w:before="0" w:after="0" w:line="259" w:lineRule="auto"/>
        <w:ind w:left="-4"/>
      </w:pPr>
      <w:r>
        <w:rPr/>
        <w:t xml:space="preserve">Tourism </w:t>
      </w:r>
    </w:p>
    <w:p>
      <w:pPr>
        <w:pStyle w:val="normal"/>
        <w:spacing w:before="0" w:after="55" w:line="228" w:lineRule="auto"/>
        <w:ind w:left="-4" w:right="48"/>
      </w:pPr>
      <w:r>
        <w:rPr/>
        <w:t xml:space="preserve">Current tourist capacities include around 500 beds in hotels situated at the shores of the lake, Hotel Vlasina (30 rooms), Hotel Narcis (26 rooms) and Hotel Jezero (17 rooms), offering a modest range of services. There is also a semi-regulated camp with the capacity for another 650 tourists available for campers. Along with regular tourists, hotels often host sporting teams from Serbia and abroad as the lake is a popular destination for summer training due to its high altitude. Sporting grounds include a large football field, small sports field and weightlifting room. According to data from 2008 percentage of filled capacities is approximately 45%.  </w:t>
      </w:r>
    </w:p>
    <w:p>
      <w:pPr>
        <w:pStyle w:val="normal"/>
        <w:spacing w:before="0" w:after="55" w:line="228" w:lineRule="auto"/>
        <w:ind w:left="-4" w:right="48"/>
      </w:pPr>
      <w:r>
        <w:rPr/>
        <w:t xml:space="preserve">In addition, there is a number of around 350 privately owned country houses and cottages settled on the shores of the lake and surrounding hills with an estimated number of another 1400 beds that are being rented out during the summer and winter vacation seasons. These are not officially registered and the number of unregistered visitors during the seasons can only be estimated at over 20,000 visitors. These tourists are additionally burdening the existing infrastructure and increasing the urgent need for waste water and solid waste treatment.  </w:t>
      </w:r>
    </w:p>
    <w:p>
      <w:pPr>
        <w:pStyle w:val="normal"/>
        <w:spacing w:before="0" w:after="55" w:line="228" w:lineRule="auto"/>
        <w:ind w:left="-4" w:right="48"/>
      </w:pPr>
      <w:r>
        <w:rPr/>
        <w:t xml:space="preserve">There is a brass band festival in the municipality, attracting some 2,000 people, which represents a </w:t>
      </w:r>
    </w:p>
    <w:p>
      <w:pPr>
        <w:pStyle w:val="normal"/>
        <w:spacing w:before="0" w:after="55" w:line="228" w:lineRule="auto"/>
        <w:ind w:left="-4" w:right="48"/>
      </w:pPr>
      <w:r>
        <w:rPr/>
        <w:t xml:space="preserve">regional qualifier for the national Guca Trumpet Festival. There is also a Serbian-Bulgarian cultural festival held close to the border In addition, there is a week allotted during March for hunting wolves and wild boar around the lakeside area. Medicinal herbs and fruits are also an attraction in the area. There are two churches close-by that are of interest, namely: the Church of Saint Ilija, on the western lakeside of Vlasina; and, the Church and Monastery of Palja (originating from the 9th Century) near the Bulgarian border.</w:t>
      </w:r>
      <w:r>
        <w:rPr>
          <w:rFonts w:cs="Calibri" w:hAnsi="Calibri" w:eastAsia="Calibri" w:ascii="Calibri"/>
          <w:b w:val="1"/>
        </w:rPr>
        <w:t xml:space="preserve"> </w:t>
      </w:r>
    </w:p>
    <w:p>
      <w:pPr>
        <w:pStyle w:val="normal"/>
        <w:spacing w:before="0" w:after="0" w:line="228" w:lineRule="auto"/>
        <w:ind w:left="-4" w:right="48"/>
      </w:pPr>
      <w:r>
        <w:rPr/>
        <w:t xml:space="preserve">There are proposals for the comprehensive development of the Vlasina Lake area by the Ministry of Economy and Regional Development as part of its “21 projects for the 21st Century” Plan. This will include two new tourist ‘centres’: one called Novi Rid for 1000 beds; and one, Krstinci, with 350 beds. There will also be a shopping centre, summer sports centre, 18-hole golf course and golf club, a ‘Fantasy World’ theme park (8,250sq.m), villas and apartments (roughly 570 in the Rid area), a sailing marina, ski lifts and facilities for Nordic skiing. Horwath TL (Consultancy Company) has completed a concept plan for the Vlasina Lake area and it was presented at a regional conference in Thessaloniki. The concept plan </w:t>
      </w:r>
      <w:r>
        <w:rPr/>
        <w:t xml:space="preserve">development cost is estimated to be 280million EUR, with the government providing 50million EUR on infrastructure and the private sector the rest during the next 12 years. The draft plan and report are currently going through the approval process.  </w:t>
      </w:r>
    </w:p>
    <w:p>
      <w:pPr>
        <w:spacing w:before="0" w:after="131" w:line="259" w:lineRule="auto"/>
        <w:ind w:left="0" w:right="0" w:firstLine="0"/>
        <w:jc w:val="left"/>
      </w:pPr>
      <w:r>
        <w:rPr>
          <w:rFonts w:cs="Calibri" w:hAnsi="Calibri" w:eastAsia="Calibri" w:ascii="Calibri"/>
          <w:sz w:val="12"/>
        </w:rPr>
        <w:t xml:space="preserve"> </w:t>
      </w:r>
    </w:p>
    <w:p>
      <w:pPr>
        <w:pStyle w:val="normal"/>
        <w:spacing w:before="0" w:after="55" w:line="228" w:lineRule="auto"/>
        <w:ind w:left="-4" w:right="48"/>
      </w:pPr>
      <w:r>
        <w:rPr>
          <w:rFonts w:cs="Calibri" w:hAnsi="Calibri" w:eastAsia="Calibri" w:ascii="Calibri"/>
          <w:b w:val="1"/>
        </w:rPr>
        <w:t xml:space="preserve">The Coca-Cola System</w:t>
      </w:r>
      <w:r>
        <w:rPr/>
        <w:t xml:space="preserve">, recognizing the importance of the preservation of the Vlasina lake ecosystem and at the same time seeing the need for further promotion of ecotourism, is co-financing with UNDP Serbia </w:t>
      </w:r>
      <w:r>
        <w:rPr>
          <w:rFonts w:cs="Calibri" w:hAnsi="Calibri" w:eastAsia="Calibri" w:ascii="Calibri"/>
          <w:i w:val="1"/>
        </w:rPr>
        <w:t xml:space="preserve">Vlasina Lake Ecotourism Promotion and Environment Protection</w:t>
      </w:r>
      <w:r>
        <w:rPr/>
        <w:t xml:space="preserve"> project within its social responsibility program, aimed at the preservation of the Vlasina lake ecosystem and its environment, as well as at aiding the economic development of this area. </w:t>
      </w:r>
    </w:p>
    <w:p>
      <w:pPr>
        <w:pStyle w:val="normal"/>
        <w:spacing w:before="0" w:after="0" w:line="228" w:lineRule="auto"/>
        <w:ind w:left="-4" w:right="48"/>
      </w:pPr>
      <w:r>
        <w:rPr/>
        <w:t xml:space="preserve">With great gratitude towards the local community and nature whose water resources it is using for the production of Rosa bottled water in its factory not far from the Vlasina lake, the Coca-Cola System wants to donate a portion of its profit to the area from which it receives so much and thus strive to achieve the following: </w:t>
      </w:r>
    </w:p>
    <w:p>
      <w:pPr>
        <w:spacing w:before="0" w:after="17" w:line="259" w:lineRule="auto"/>
        <w:ind w:left="0" w:right="0" w:firstLine="0"/>
        <w:jc w:val="left"/>
      </w:pPr>
      <w:r>
        <w:rPr/>
        <w:t xml:space="preserve"> </w:t>
      </w:r>
    </w:p>
    <w:p>
      <w:pPr>
        <w:spacing w:before="0" w:after="3" w:line="259" w:lineRule="auto"/>
        <w:ind w:left="-5" w:right="0"/>
        <w:jc w:val="left"/>
      </w:pPr>
      <w:r>
        <w:rPr>
          <w:rFonts w:cs="Calibri" w:hAnsi="Calibri" w:eastAsia="Calibri" w:ascii="Calibri"/>
          <w:b w:val="1"/>
          <w:sz w:val="28"/>
        </w:rPr>
        <w:t xml:space="preserve">2. Project Outcomes: </w:t>
      </w:r>
    </w:p>
    <w:p>
      <w:pPr>
        <w:spacing w:before="0" w:after="0" w:line="259" w:lineRule="auto"/>
        <w:ind w:left="0" w:right="0" w:firstLine="0"/>
        <w:jc w:val="left"/>
      </w:pPr>
      <w:r>
        <w:rPr/>
        <w:t xml:space="preserve"> </w:t>
      </w:r>
    </w:p>
    <w:p>
      <w:pPr>
        <w:pStyle w:val="normal"/>
        <w:spacing w:before="0" w:after="29" w:line="228" w:lineRule="auto"/>
        <w:ind w:left="-4" w:right="793"/>
      </w:pPr>
      <w:r>
        <w:rPr/>
        <w:t xml:space="preserve">1.</w:t>
      </w:r>
      <w:r>
        <w:rPr>
          <w:rFonts w:cs="Arial" w:hAnsi="Arial" w:eastAsia="Arial" w:ascii="Arial"/>
        </w:rPr>
        <w:t xml:space="preserve"> </w:t>
      </w:r>
      <w:r>
        <w:rPr/>
        <w:t xml:space="preserve">Ecotourism development in the Vlasina Lake PA </w:t>
      </w:r>
      <w:r>
        <w:rPr/>
        <w:t xml:space="preserve">2.</w:t>
      </w:r>
      <w:r>
        <w:rPr>
          <w:rFonts w:cs="Arial" w:hAnsi="Arial" w:eastAsia="Arial" w:ascii="Arial"/>
        </w:rPr>
        <w:t xml:space="preserve"> </w:t>
      </w:r>
      <w:r>
        <w:rPr/>
        <w:t xml:space="preserve">Environment protection and water stewardship awareness raising among local stakeholders.   </w:t>
      </w:r>
    </w:p>
    <w:p>
      <w:pPr>
        <w:spacing w:before="0" w:after="13" w:line="259" w:lineRule="auto"/>
        <w:ind w:left="0" w:right="0" w:firstLine="0"/>
        <w:jc w:val="left"/>
      </w:pPr>
      <w:r>
        <w:rPr>
          <w:rFonts w:cs="Arial" w:hAnsi="Arial" w:eastAsia="Arial" w:ascii="Arial"/>
          <w:sz w:val="24"/>
        </w:rPr>
        <w:t xml:space="preserve"> </w:t>
      </w:r>
    </w:p>
    <w:p>
      <w:pPr>
        <w:pStyle w:val="normal"/>
        <w:spacing w:before="0" w:after="89" w:line="228" w:lineRule="auto"/>
        <w:ind w:left="-4" w:right="48"/>
      </w:pPr>
      <w:r>
        <w:rPr/>
        <w:t xml:space="preserve">The achievement of the project outcomes is envisaged through four </w:t>
      </w:r>
      <w:r>
        <w:rPr>
          <w:rFonts w:cs="Calibri" w:hAnsi="Calibri" w:eastAsia="Calibri" w:ascii="Calibri"/>
          <w:b w:val="1"/>
        </w:rPr>
        <w:t xml:space="preserve">outputs</w:t>
      </w:r>
      <w:r>
        <w:rPr/>
        <w:t xml:space="preserve">: </w:t>
      </w:r>
    </w:p>
    <w:p>
      <w:pPr>
        <w:pStyle w:val="normal"/>
        <w:numPr>
          <w:ilvl w:val="0"/>
          <w:numId w:val="2"/>
        </w:numPr>
        <w:spacing w:before="0" w:after="29" w:line="228" w:lineRule="auto"/>
        <w:ind w:left="360" w:right="48" w:hanging="360"/>
      </w:pPr>
      <w:r>
        <w:rPr/>
        <w:t xml:space="preserve">Branding and promotion of the Vlasina Lake as a tourist destination. </w:t>
      </w:r>
    </w:p>
    <w:p>
      <w:pPr>
        <w:numPr>
          <w:ilvl w:val="0"/>
          <w:numId w:val="2"/>
        </w:numPr>
        <w:spacing w:before="0" w:after="23" w:line="228" w:lineRule="auto"/>
        <w:ind w:left="360" w:right="48" w:hanging="360"/>
      </w:pPr>
      <w:r>
        <w:rPr/>
        <w:t xml:space="preserve">Organizing conferences, seminars, trainings and excursions as means for capacity development of local self government officials in environment protection, assessing the possibilities for investment in the construction of tourist infrastructure at the Vlasina Lake, increasing the capacities of local tourist operators for more effective provision of services and the promotion of the lake itself. </w:t>
      </w:r>
    </w:p>
    <w:p>
      <w:pPr>
        <w:pStyle w:val="normal"/>
        <w:numPr>
          <w:ilvl w:val="0"/>
          <w:numId w:val="2"/>
        </w:numPr>
        <w:spacing w:before="0" w:after="29" w:line="228" w:lineRule="auto"/>
        <w:ind w:left="360" w:right="48" w:hanging="360"/>
      </w:pPr>
      <w:r>
        <w:rPr/>
        <w:t xml:space="preserve">Construction of a part of tourist infrastructure at the Vlasina Lake. </w:t>
      </w:r>
    </w:p>
    <w:p>
      <w:pPr>
        <w:pStyle w:val="normal"/>
        <w:numPr>
          <w:ilvl w:val="0"/>
          <w:numId w:val="2"/>
        </w:numPr>
        <w:spacing w:before="0" w:after="55" w:line="228" w:lineRule="auto"/>
        <w:ind w:left="360" w:right="48" w:hanging="360"/>
      </w:pPr>
      <w:r>
        <w:rPr/>
        <w:t xml:space="preserve">Providing support to the local self-government and the public utility company of the Surdulica municipality in protecting the environment of the Vlasina Lake. </w:t>
      </w:r>
    </w:p>
    <w:p>
      <w:pPr>
        <w:pStyle w:val="normal"/>
        <w:spacing w:before="0" w:after="25" w:line="228" w:lineRule="auto"/>
        <w:ind w:left="-4" w:right="48"/>
      </w:pPr>
      <w:r>
        <w:rPr/>
        <w:t xml:space="preserve">This project will promote the policy of equal opportunities for men and women  combining the principle of gender mainstreaming into all its activities and will undertake specific measures, if required,  to gap the negative differences between men and women of all ethnicities  in the given socio economic context. </w:t>
      </w:r>
    </w:p>
    <w:p>
      <w:pPr>
        <w:spacing w:before="0" w:after="0" w:line="259" w:lineRule="auto"/>
        <w:ind w:left="0" w:right="0" w:firstLine="0"/>
        <w:jc w:val="left"/>
      </w:pPr>
      <w:r>
        <w:rPr>
          <w:rFonts w:cs="Arial" w:hAnsi="Arial" w:eastAsia="Arial" w:ascii="Arial"/>
          <w:b w:val="1"/>
          <w:sz w:val="24"/>
        </w:rPr>
        <w:t xml:space="preserve"> </w:t>
      </w:r>
    </w:p>
    <w:p>
      <w:pPr>
        <w:pStyle w:val="normal"/>
        <w:spacing w:before="0" w:after="29" w:line="228" w:lineRule="auto"/>
        <w:ind w:left="-4" w:right="48"/>
      </w:pPr>
      <w:r>
        <w:rPr>
          <w:rFonts w:cs="Calibri" w:hAnsi="Calibri" w:eastAsia="Calibri" w:ascii="Calibri"/>
          <w:b w:val="1"/>
        </w:rPr>
        <w:t xml:space="preserve">Time Frame: </w:t>
      </w:r>
      <w:r>
        <w:rPr/>
        <w:t xml:space="preserve">the project will be completed within three years (August 2011 - August 2014)  </w:t>
      </w:r>
    </w:p>
    <w:p>
      <w:pPr>
        <w:spacing w:before="0" w:after="12" w:line="259" w:lineRule="auto"/>
        <w:ind w:left="0" w:right="0" w:firstLine="0"/>
        <w:jc w:val="left"/>
      </w:pPr>
      <w:r>
        <w:rPr>
          <w:rFonts w:cs="Arial" w:hAnsi="Arial" w:eastAsia="Arial" w:ascii="Arial"/>
          <w:b w:val="1"/>
          <w:sz w:val="24"/>
        </w:rPr>
        <w:t xml:space="preserve"> </w:t>
      </w:r>
    </w:p>
    <w:p>
      <w:pPr>
        <w:pStyle w:val="heading2"/>
        <w:spacing w:before="0" w:after="20" w:line="259" w:lineRule="auto"/>
        <w:ind w:left="-5"/>
      </w:pPr>
      <w:r>
        <w:rPr/>
        <w:t xml:space="preserve">Output1: Vlasina Lake Branding and Promotion </w:t>
      </w:r>
    </w:p>
    <w:p>
      <w:pPr>
        <w:pStyle w:val="normal"/>
        <w:spacing w:before="0" w:after="0" w:line="228" w:lineRule="auto"/>
        <w:ind w:left="-4" w:right="48"/>
      </w:pPr>
      <w:r>
        <w:rPr/>
        <w:t xml:space="preserve">Within this output, the following activities/deliverables are envisaged: 1) design of the complete visual identity of the Vlasina lake; 2) design and preparation of promotional and educational materials; 3) development of the website for the promotion of ecotourism; 4) organization of conferences; and 5) installation of sign posts to the Vlasina lake on every main road.  </w:t>
      </w:r>
    </w:p>
    <w:p>
      <w:pPr>
        <w:spacing w:before="0" w:after="0" w:line="259" w:lineRule="auto"/>
        <w:ind w:left="0" w:right="0" w:firstLine="0"/>
        <w:jc w:val="left"/>
      </w:pPr>
      <w:r>
        <w:rPr>
          <w:rFonts w:cs="Calibri" w:hAnsi="Calibri" w:eastAsia="Calibri" w:ascii="Calibri"/>
          <w:b w:val="1"/>
        </w:rPr>
        <w:t xml:space="preserve"> </w:t>
      </w:r>
    </w:p>
    <w:p>
      <w:pPr>
        <w:shd w:val="clear" w:color="auto" w:fill="d9d9d9"/>
        <w:spacing w:before="0" w:after="23" w:line="259" w:lineRule="auto"/>
        <w:ind w:left="-5" w:right="0"/>
        <w:jc w:val="left"/>
      </w:pPr>
      <w:r>
        <w:rPr>
          <w:rFonts w:cs="Calibri" w:hAnsi="Calibri" w:eastAsia="Calibri" w:ascii="Calibri"/>
          <w:b w:val="1"/>
        </w:rPr>
        <w:t xml:space="preserve">Activity 1.1</w:t>
      </w:r>
      <w:r>
        <w:rPr/>
        <w:t xml:space="preserve"> – Creating Vlasina Lake Visual Identity </w:t>
      </w:r>
    </w:p>
    <w:p>
      <w:pPr>
        <w:pStyle w:val="normal"/>
        <w:spacing w:before="0" w:after="55" w:line="228" w:lineRule="auto"/>
        <w:ind w:left="-4" w:right="48"/>
      </w:pPr>
      <w:r>
        <w:rPr/>
        <w:t xml:space="preserve">Creating a unique, recognizable visual identity of the Vlasina Lake for the market competition for the purpose of tourism development and giving support to the work of local tourist operators. </w:t>
      </w:r>
    </w:p>
    <w:p>
      <w:pPr>
        <w:pStyle w:val="normal"/>
        <w:spacing w:before="0" w:after="77" w:line="228" w:lineRule="auto"/>
        <w:ind w:left="-4" w:right="48"/>
      </w:pPr>
      <w:r>
        <w:rPr/>
        <w:t xml:space="preserve">The basic idea is that all tourist stakeholders take over the unique visual identity when it comes to the promotion of the Vlasina Lake, so that a recognizable brand could be created that will result in increased number of tourist visits to the lake. </w:t>
      </w:r>
    </w:p>
    <w:p>
      <w:pPr>
        <w:pStyle w:val="normal"/>
        <w:tabs>
          <w:tab w:val="right" w:pos="9664"/>
        </w:tabs>
        <w:spacing w:before="0" w:after="29" w:line="228" w:lineRule="auto"/>
        <w:ind w:left="-14" w:right="0" w:firstLine="0"/>
        <w:jc w:val="left"/>
      </w:pPr>
      <w:r>
        <w:rPr/>
        <w:t xml:space="preserve">Time frame:  	Taking into account that this Activity represents a precondition for the </w:t>
      </w:r>
    </w:p>
    <w:p>
      <w:pPr>
        <w:pStyle w:val="normal"/>
        <w:spacing w:before="0" w:after="77" w:line="228" w:lineRule="auto"/>
        <w:ind w:left="3129" w:right="48"/>
      </w:pPr>
      <w:r>
        <w:rPr/>
        <w:t xml:space="preserve">preparation of educational and promotional materials, it is necessary that it is realized at the very beginning of the project </w:t>
      </w:r>
    </w:p>
    <w:p>
      <w:pPr>
        <w:pStyle w:val="normal"/>
        <w:tabs>
          <w:tab w:val="center" w:pos="4527"/>
        </w:tabs>
        <w:spacing w:before="0" w:after="55" w:line="228" w:lineRule="auto"/>
        <w:ind w:left="-14" w:right="0" w:firstLine="0"/>
        <w:jc w:val="left"/>
      </w:pPr>
      <w:r>
        <w:rPr/>
        <w:t xml:space="preserve">Foreseen realization period: 	August 2011 – December 2011  </w:t>
      </w:r>
    </w:p>
    <w:p>
      <w:pPr>
        <w:pStyle w:val="normal"/>
        <w:spacing w:before="0" w:after="0" w:line="228" w:lineRule="auto"/>
        <w:ind w:left="3105" w:right="48" w:hanging="3119"/>
      </w:pPr>
      <w:r>
        <w:rPr/>
        <w:t xml:space="preserve">Financing:  This Activity is going to be realized as an apart, in kind contribution of the Coca-Cola System through their respective marketing experts.  </w:t>
      </w:r>
    </w:p>
    <w:p>
      <w:pPr>
        <w:spacing w:before="0" w:after="0" w:line="259" w:lineRule="auto"/>
        <w:ind w:left="360" w:right="0" w:firstLine="0"/>
        <w:jc w:val="left"/>
      </w:pPr>
      <w:r>
        <w:rPr/>
        <w:t xml:space="preserve"> </w:t>
      </w:r>
    </w:p>
    <w:p>
      <w:pPr>
        <w:shd w:val="clear" w:color="auto" w:fill="d9d9d9"/>
        <w:spacing w:before="0" w:after="23" w:line="259" w:lineRule="auto"/>
        <w:ind w:left="-5" w:right="0"/>
        <w:jc w:val="left"/>
      </w:pPr>
      <w:r>
        <w:rPr>
          <w:rFonts w:cs="Calibri" w:hAnsi="Calibri" w:eastAsia="Calibri" w:ascii="Calibri"/>
          <w:b w:val="1"/>
        </w:rPr>
        <w:t xml:space="preserve">Activity 1.2</w:t>
      </w:r>
      <w:r>
        <w:rPr/>
        <w:t xml:space="preserve"> – Creating Promotional and Educational Materials </w:t>
      </w:r>
    </w:p>
    <w:p>
      <w:pPr>
        <w:pStyle w:val="normal"/>
        <w:spacing w:before="0" w:after="55" w:line="228" w:lineRule="auto"/>
        <w:ind w:left="-4" w:right="48"/>
      </w:pPr>
      <w:r>
        <w:rPr/>
        <w:t xml:space="preserve">Taking into account that the project envisages numerous conferences, seminars and trainings, it is necessary that they are accompanied by appropriate materials designed in accordance with the new Vlasina lake visual identity. </w:t>
      </w:r>
    </w:p>
    <w:p>
      <w:pPr>
        <w:pStyle w:val="normal"/>
        <w:spacing w:before="0" w:after="55" w:line="228" w:lineRule="auto"/>
        <w:ind w:left="3105" w:right="48" w:hanging="3119"/>
      </w:pPr>
      <w:r>
        <w:rPr/>
        <w:t xml:space="preserve">Responsible party:   RDA will, based on agreement with the MoESP, engage an independent consultant (designer) who will produce the visual solution based on the visual identity developed under Activity 1.1, and independent consultants (coaches / marketing experts) who will be engaged in the promotional materials and trainings content development. </w:t>
      </w:r>
    </w:p>
    <w:p>
      <w:pPr>
        <w:pStyle w:val="normal"/>
        <w:spacing w:before="0" w:after="0" w:line="228" w:lineRule="auto"/>
        <w:ind w:left="3105" w:right="48" w:hanging="3119"/>
      </w:pPr>
      <w:r>
        <w:rPr/>
        <w:t xml:space="preserve">Time frame: Considering that this Activity depends on the creation of the visual identity, and also on the creation of the content of numerous courses and conferences the time frame cannot be specified at this point. </w:t>
      </w:r>
    </w:p>
    <w:p>
      <w:pPr>
        <w:spacing w:before="0" w:after="23" w:line="259" w:lineRule="auto"/>
        <w:ind w:left="0" w:right="0" w:firstLine="0"/>
        <w:jc w:val="left"/>
      </w:pPr>
      <w:r>
        <w:rPr>
          <w:rFonts w:cs="Calibri" w:hAnsi="Calibri" w:eastAsia="Calibri" w:ascii="Calibri"/>
          <w:b w:val="1"/>
        </w:rPr>
        <w:t xml:space="preserve"> </w:t>
      </w:r>
    </w:p>
    <w:p>
      <w:pPr>
        <w:shd w:val="clear" w:color="auto" w:fill="d9d9d9"/>
        <w:spacing w:before="0" w:after="23" w:line="259" w:lineRule="auto"/>
        <w:ind w:left="-5" w:right="0"/>
        <w:jc w:val="left"/>
      </w:pPr>
      <w:r>
        <w:rPr>
          <w:rFonts w:cs="Calibri" w:hAnsi="Calibri" w:eastAsia="Calibri" w:ascii="Calibri"/>
          <w:b w:val="1"/>
        </w:rPr>
        <w:t xml:space="preserve">Activity 1.3</w:t>
      </w:r>
      <w:r>
        <w:rPr/>
        <w:t xml:space="preserve"> – Production of the Visit Vlasina Website  </w:t>
      </w:r>
    </w:p>
    <w:p>
      <w:pPr>
        <w:pStyle w:val="normal"/>
        <w:spacing w:before="0" w:after="55" w:line="228" w:lineRule="auto"/>
        <w:ind w:left="-4" w:right="48"/>
      </w:pPr>
      <w:r>
        <w:rPr/>
        <w:t xml:space="preserve">Production of a comprehensive website will promote all aspects of the Vlasina lake tourism. The website will contain a presentation of all tourist amenities (hotels, camps, lodging houses, village tourism etc.), the Vlasina lake natural attractions (unique flora and fauna, nearby mountains, forests and the lake itself), tourist activities at the lake (bird watching, hiking, sport games, boat touring, paragliding etc.). </w:t>
      </w:r>
    </w:p>
    <w:p>
      <w:pPr>
        <w:pStyle w:val="normal"/>
        <w:spacing w:before="0" w:after="55" w:line="228" w:lineRule="auto"/>
        <w:ind w:left="-4" w:right="48"/>
      </w:pPr>
      <w:r>
        <w:rPr/>
        <w:t xml:space="preserve">The website will consist of several dozens of micro websites linked into a single whole, both visually and regarding the content. Considering the fact that a very small percentage (below 10%) of tourist services providers at the Vlasina lake have their own websites, this will significantly improve their capacities and create access for all potential visitors of the Vlasina lake. This website will be part of the Regional Web Tourism Portal which has already been developed with support from the Austrian Development Agency. </w:t>
      </w:r>
    </w:p>
    <w:p>
      <w:pPr>
        <w:pStyle w:val="normal"/>
        <w:spacing w:before="0" w:after="29" w:line="228" w:lineRule="auto"/>
        <w:ind w:left="-4" w:right="48"/>
      </w:pPr>
      <w:r>
        <w:rPr/>
        <w:t xml:space="preserve">From the point of view of economic justifiability, this form of Internet marketing represents the most efficient, cost-effective and fastest means of promotion. All accommodation capacities of the Vlasina lake will be presented on the website (via individual micro websites), as well as all tourist agencies and other tourist services providers, and high web traffic is expected, as well as great advertising space sale potential, which represents the key to financial sustainability and further development of the website after the project completion. </w:t>
      </w:r>
    </w:p>
    <w:tbl>
      <w:tblPr>
        <w:tblStyle w:val="TableGrid"/>
        <w:tblW w:w="9650" w:type="dxa"/>
        <w:tblInd w:w="0" w:type="dxa"/>
        <w:tblCellMar>
          <w:top w:w="0" w:type="dxa"/>
          <w:left w:w="0" w:type="dxa"/>
          <w:bottom w:w="0" w:type="dxa"/>
          <w:right w:w="0" w:type="dxa"/>
        </w:tblCellMar>
      </w:tblPr>
      <w:tblGrid>
        <w:gridCol w:w="3119"/>
        <w:gridCol w:w="6531"/>
      </w:tblGrid>
      <w:tr>
        <w:trPr>
          <w:trHeight w:val="505" w:hRule="atLeast"/>
        </w:trPr>
        <w:tc>
          <w:tcPr>
            <w:tcW w:w="3119" w:type="dxa"/>
            <w:tcBorders>
              <w:top w:val="nil"/>
              <w:left w:val="nil"/>
              <w:bottom w:val="nil"/>
              <w:right w:val="nil"/>
            </w:tcBorders>
            <w:vAlign w:val="top"/>
          </w:tcPr>
          <w:p>
            <w:pPr>
              <w:spacing w:before="0" w:after="0" w:line="259" w:lineRule="auto"/>
              <w:ind w:left="0" w:right="0" w:firstLine="0"/>
              <w:jc w:val="left"/>
            </w:pPr>
            <w:r>
              <w:rPr/>
              <w:t xml:space="preserve">Responsible party: </w:t>
            </w:r>
          </w:p>
        </w:tc>
        <w:tc>
          <w:tcPr>
            <w:tcW w:w="6531" w:type="dxa"/>
            <w:tcBorders>
              <w:top w:val="nil"/>
              <w:left w:val="nil"/>
              <w:bottom w:val="nil"/>
              <w:right w:val="nil"/>
            </w:tcBorders>
            <w:vAlign w:val="top"/>
          </w:tcPr>
          <w:p>
            <w:pPr>
              <w:spacing w:before="0" w:after="0" w:line="259" w:lineRule="auto"/>
              <w:ind w:left="0" w:right="0" w:firstLine="0"/>
              <w:jc w:val="left"/>
            </w:pPr>
            <w:r>
              <w:rPr/>
              <w:t xml:space="preserve">RDA will, based on agreement with the MoESP engage independent consultants. </w:t>
            </w:r>
          </w:p>
        </w:tc>
      </w:tr>
      <w:tr>
        <w:trPr>
          <w:trHeight w:val="806" w:hRule="atLeast"/>
        </w:trPr>
        <w:tc>
          <w:tcPr>
            <w:tcW w:w="3119" w:type="dxa"/>
            <w:tcBorders>
              <w:top w:val="nil"/>
              <w:left w:val="nil"/>
              <w:bottom w:val="nil"/>
              <w:right w:val="nil"/>
            </w:tcBorders>
            <w:vAlign w:val="top"/>
          </w:tcPr>
          <w:p>
            <w:pPr>
              <w:spacing w:before="0" w:after="0" w:line="259" w:lineRule="auto"/>
              <w:ind w:left="0" w:right="0" w:firstLine="0"/>
              <w:jc w:val="left"/>
            </w:pPr>
            <w:r>
              <w:rPr/>
              <w:t xml:space="preserve">Time frame: </w:t>
            </w:r>
          </w:p>
        </w:tc>
        <w:tc>
          <w:tcPr>
            <w:tcW w:w="6531" w:type="dxa"/>
            <w:tcBorders>
              <w:top w:val="nil"/>
              <w:left w:val="nil"/>
              <w:bottom w:val="nil"/>
              <w:right w:val="nil"/>
            </w:tcBorders>
            <w:vAlign w:val="top"/>
          </w:tcPr>
          <w:p>
            <w:pPr>
              <w:spacing w:before="0" w:after="0" w:line="259" w:lineRule="auto"/>
              <w:ind w:left="0" w:right="47" w:firstLine="0"/>
            </w:pPr>
            <w:r>
              <w:rPr/>
              <w:t xml:space="preserve">Considering that this Activity depends on the visual identity creation, but at the same time represents its part, it is necessary to realize it at the beginning of the project. </w:t>
            </w:r>
          </w:p>
        </w:tc>
      </w:tr>
      <w:tr>
        <w:trPr>
          <w:trHeight w:val="256" w:hRule="atLeast"/>
        </w:trPr>
        <w:tc>
          <w:tcPr>
            <w:tcW w:w="3119" w:type="dxa"/>
            <w:tcBorders>
              <w:top w:val="nil"/>
              <w:left w:val="nil"/>
              <w:bottom w:val="nil"/>
              <w:right w:val="nil"/>
            </w:tcBorders>
            <w:vAlign w:val="top"/>
          </w:tcPr>
          <w:p>
            <w:pPr>
              <w:spacing w:before="0" w:after="0" w:line="259" w:lineRule="auto"/>
              <w:ind w:left="0" w:right="0" w:firstLine="0"/>
              <w:jc w:val="left"/>
            </w:pPr>
            <w:r>
              <w:rPr/>
              <w:t xml:space="preserve">Foreseen realization period: </w:t>
            </w:r>
          </w:p>
        </w:tc>
        <w:tc>
          <w:tcPr>
            <w:tcW w:w="6531" w:type="dxa"/>
            <w:tcBorders>
              <w:top w:val="nil"/>
              <w:left w:val="nil"/>
              <w:bottom w:val="nil"/>
              <w:right w:val="nil"/>
            </w:tcBorders>
            <w:vAlign w:val="top"/>
          </w:tcPr>
          <w:p>
            <w:pPr>
              <w:spacing w:before="0" w:after="0" w:line="259" w:lineRule="auto"/>
              <w:ind w:left="1" w:right="0" w:firstLine="0"/>
              <w:jc w:val="left"/>
            </w:pPr>
            <w:r>
              <w:rPr/>
              <w:t xml:space="preserve">September 2011 - January 2012 </w:t>
            </w:r>
          </w:p>
        </w:tc>
      </w:tr>
    </w:tbl>
    <w:p>
      <w:pPr>
        <w:spacing w:before="0" w:after="0" w:line="259" w:lineRule="auto"/>
        <w:ind w:left="0" w:right="0" w:firstLine="0"/>
        <w:jc w:val="left"/>
      </w:pPr>
      <w:r>
        <w:rPr>
          <w:rFonts w:cs="Calibri" w:hAnsi="Calibri" w:eastAsia="Calibri" w:ascii="Calibri"/>
          <w:b w:val="1"/>
        </w:rPr>
        <w:t xml:space="preserve"> </w:t>
      </w:r>
    </w:p>
    <w:p>
      <w:pPr>
        <w:shd w:val="clear" w:color="auto" w:fill="d9d9d9"/>
        <w:spacing w:before="0" w:after="23" w:line="259" w:lineRule="auto"/>
        <w:ind w:left="-5" w:right="0"/>
        <w:jc w:val="left"/>
      </w:pPr>
      <w:r>
        <w:rPr>
          <w:rFonts w:cs="Calibri" w:hAnsi="Calibri" w:eastAsia="Calibri" w:ascii="Calibri"/>
          <w:b w:val="1"/>
        </w:rPr>
        <w:t xml:space="preserve">Activity 1.4</w:t>
      </w:r>
      <w:r>
        <w:rPr/>
        <w:t xml:space="preserve"> – Road Signs to the Vlasina Lake </w:t>
      </w:r>
    </w:p>
    <w:p>
      <w:pPr>
        <w:pStyle w:val="normal"/>
        <w:spacing w:before="0" w:after="55" w:line="228" w:lineRule="auto"/>
        <w:ind w:left="-4" w:right="48"/>
      </w:pPr>
      <w:r>
        <w:rPr/>
        <w:t xml:space="preserve">Raising visibility of the Vlasina lake and easing access for potential visitors (currently there is no road signalization in any area of the Republic of Serbia that would point to the direction, distance and turns to the Vlasina lake). </w:t>
      </w:r>
    </w:p>
    <w:p>
      <w:pPr>
        <w:pStyle w:val="normal"/>
        <w:spacing w:before="0" w:after="139" w:line="228" w:lineRule="auto"/>
        <w:ind w:left="-4" w:right="48"/>
      </w:pPr>
      <w:r>
        <w:rPr/>
        <w:t xml:space="preserve">The basic idea is to install signs / tourist info billboards at the following locations: </w:t>
      </w:r>
    </w:p>
    <w:p>
      <w:pPr>
        <w:numPr>
          <w:ilvl w:val="0"/>
          <w:numId w:val="3"/>
        </w:numPr>
        <w:spacing w:before="0" w:after="23" w:line="228" w:lineRule="auto"/>
        <w:ind w:left="425" w:right="144" w:hanging="425"/>
      </w:pPr>
      <w:r>
        <w:rPr/>
        <w:t xml:space="preserve">All bigger exits to the highway E-75 (Belgrade – at the city exit, Lapovo / Kragujevac, Niš, Leskovac, and at the entrance to Serbia from the direction of Macedonia). </w:t>
      </w:r>
      <w:r>
        <w:rPr>
          <w:rFonts w:cs="Segoe UI Symbol" w:hAnsi="Segoe UI Symbol" w:eastAsia="Segoe UI Symbol" w:ascii="Segoe UI Symbol"/>
        </w:rPr>
        <w:t xml:space="preserve">•</w:t>
      </w:r>
      <w:r>
        <w:rPr>
          <w:rFonts w:cs="Arial" w:hAnsi="Arial" w:eastAsia="Arial" w:ascii="Arial"/>
        </w:rPr>
        <w:t xml:space="preserve"> 	</w:t>
      </w:r>
      <w:r>
        <w:rPr/>
        <w:t xml:space="preserve">Exit from the highway to Vladičin Han (this exit coincides with the turn to Surdulica municipality, i.e. </w:t>
      </w:r>
    </w:p>
    <w:p>
      <w:pPr>
        <w:pStyle w:val="normal"/>
        <w:spacing w:before="0" w:after="78" w:line="228" w:lineRule="auto"/>
        <w:ind w:left="436" w:right="48"/>
      </w:pPr>
      <w:r>
        <w:rPr/>
        <w:t xml:space="preserve">the Vlasina lake). </w:t>
      </w:r>
    </w:p>
    <w:p>
      <w:pPr>
        <w:pStyle w:val="normal"/>
        <w:numPr>
          <w:ilvl w:val="0"/>
          <w:numId w:val="3"/>
        </w:numPr>
        <w:spacing w:before="0" w:after="55" w:line="228" w:lineRule="auto"/>
        <w:ind w:left="425" w:right="144" w:hanging="425"/>
      </w:pPr>
      <w:r>
        <w:rPr/>
        <w:t xml:space="preserve">In Vladičin Han, at the turn to Surdulica. </w:t>
      </w:r>
    </w:p>
    <w:p>
      <w:pPr>
        <w:pStyle w:val="normal"/>
        <w:numPr>
          <w:ilvl w:val="0"/>
          <w:numId w:val="3"/>
        </w:numPr>
        <w:spacing w:before="0" w:after="0" w:line="284" w:lineRule="auto"/>
        <w:ind w:left="425" w:right="144" w:hanging="425"/>
      </w:pPr>
      <w:r>
        <w:rPr/>
        <w:t xml:space="preserve">At the Surdulica entrance and exit.  </w:t>
      </w:r>
      <w:r>
        <w:rPr>
          <w:rFonts w:cs="Segoe UI Symbol" w:hAnsi="Segoe UI Symbol" w:eastAsia="Segoe UI Symbol" w:ascii="Segoe UI Symbol"/>
        </w:rPr>
        <w:t xml:space="preserve">•</w:t>
      </w:r>
      <w:r>
        <w:rPr>
          <w:rFonts w:cs="Arial" w:hAnsi="Arial" w:eastAsia="Arial" w:ascii="Arial"/>
        </w:rPr>
        <w:t xml:space="preserve"> 	</w:t>
      </w:r>
      <w:r>
        <w:rPr/>
        <w:t xml:space="preserve">At exit from highway E-75 to Vlasotince (via Crna Trava). </w:t>
      </w:r>
    </w:p>
    <w:p>
      <w:pPr>
        <w:spacing w:before="0" w:after="0" w:line="259" w:lineRule="auto"/>
        <w:ind w:left="2520" w:right="0" w:firstLine="0"/>
        <w:jc w:val="left"/>
      </w:pPr>
      <w:r>
        <w:rPr/>
        <w:t xml:space="preserve"> </w:t>
      </w:r>
    </w:p>
    <w:p>
      <w:pPr>
        <w:pStyle w:val="normal"/>
        <w:spacing w:before="0" w:after="77" w:line="228" w:lineRule="auto"/>
        <w:ind w:left="-4" w:right="48"/>
      </w:pPr>
      <w:r>
        <w:rPr/>
        <w:t xml:space="preserve">Aimed at increased visibility and marketing influence, billboards should have an unusual form (not the standard rectangle shape, but in the shape of the Vlasina lake symbol – a cartoon of one of the protected bird species which is pointing its wing at the direction of the lake).  </w:t>
      </w:r>
    </w:p>
    <w:p>
      <w:pPr>
        <w:spacing w:before="0" w:after="23" w:line="228" w:lineRule="auto"/>
        <w:ind w:left="3248" w:right="10" w:hanging="3262"/>
        <w:jc w:val="left"/>
      </w:pPr>
      <w:r>
        <w:rPr/>
        <w:t xml:space="preserve">Responsible party:  	RDA will, based on agreement with the MoESP, engage independent consultants 	/ 	company 	(database 	design, 	web 	application programming and web site production). The visual solution produced under Activity 1.1 will be used as an input. </w:t>
      </w:r>
    </w:p>
    <w:p>
      <w:pPr>
        <w:pStyle w:val="normal"/>
        <w:spacing w:before="0" w:after="78" w:line="228" w:lineRule="auto"/>
        <w:ind w:left="3248" w:right="48" w:hanging="3262"/>
      </w:pPr>
      <w:r>
        <w:rPr/>
        <w:t xml:space="preserve">Time frame:  Considering that the only requirement for this Activity is the visual identity creation, it is possible to realize this Activity immediately after the said requirement is met. </w:t>
      </w:r>
    </w:p>
    <w:p>
      <w:pPr>
        <w:pStyle w:val="normal"/>
        <w:tabs>
          <w:tab w:val="center" w:pos="4436"/>
        </w:tabs>
        <w:spacing w:before="0" w:after="29" w:line="228" w:lineRule="auto"/>
        <w:ind w:left="-14" w:right="0" w:firstLine="0"/>
        <w:jc w:val="left"/>
      </w:pPr>
      <w:r>
        <w:rPr/>
        <w:t xml:space="preserve">Foreseen realization period: 	January 2012 – April 2012 </w:t>
      </w:r>
    </w:p>
    <w:p>
      <w:pPr>
        <w:spacing w:before="0" w:after="0" w:line="259" w:lineRule="auto"/>
        <w:ind w:left="360" w:right="0" w:firstLine="0"/>
        <w:jc w:val="left"/>
      </w:pPr>
      <w:r>
        <w:rPr/>
        <w:t xml:space="preserve"> </w:t>
      </w:r>
    </w:p>
    <w:p>
      <w:pPr>
        <w:pStyle w:val="heading2"/>
        <w:spacing w:before="0" w:after="20" w:line="259" w:lineRule="auto"/>
        <w:ind w:left="-5"/>
      </w:pPr>
      <w:r>
        <w:rPr/>
        <w:t xml:space="preserve">Output 2: Education and Promotion of Ecotourism and Environment Protection </w:t>
      </w:r>
    </w:p>
    <w:p>
      <w:pPr>
        <w:pStyle w:val="normal"/>
        <w:spacing w:before="0" w:after="55" w:line="228" w:lineRule="auto"/>
        <w:ind w:left="-4" w:right="48"/>
      </w:pPr>
      <w:r>
        <w:rPr/>
        <w:t xml:space="preserve">Within this output numerous seminars and conferences are envisaged aimed at the promotion of the Vlasina lake as a tourist destination, connecting private, government and non-government sector and considering possibilities for their future cooperation and a synergetic approach to tourism development. </w:t>
      </w:r>
    </w:p>
    <w:p>
      <w:pPr>
        <w:pStyle w:val="normal"/>
        <w:spacing w:before="0" w:after="0" w:line="228" w:lineRule="auto"/>
        <w:ind w:left="-4" w:right="48"/>
      </w:pPr>
      <w:r>
        <w:rPr/>
        <w:t xml:space="preserve">This output will also provide support and aid in the strengthening of capacities of local tourist operators as the proponents of tourism development through a series of trainings (customer communication, public appearance skills, sale, marketing, etc.), along with creating a recognizable brand and a unique marketing activity. A special part of the activity is devoted to long-term investments in environment protection, i.e. education of students on the subject of the protection of the environment and its rational exploitation. </w:t>
      </w:r>
    </w:p>
    <w:p>
      <w:pPr>
        <w:spacing w:before="0" w:after="0" w:line="259" w:lineRule="auto"/>
        <w:ind w:left="0" w:right="0" w:firstLine="0"/>
        <w:jc w:val="left"/>
      </w:pPr>
      <w:r>
        <w:rPr/>
        <w:t xml:space="preserve"> </w:t>
      </w:r>
    </w:p>
    <w:p>
      <w:pPr>
        <w:shd w:val="clear" w:color="auto" w:fill="d9d9d9"/>
        <w:spacing w:before="0" w:after="23" w:line="259" w:lineRule="auto"/>
        <w:ind w:left="-5" w:right="0"/>
        <w:jc w:val="left"/>
      </w:pPr>
      <w:r>
        <w:rPr>
          <w:rFonts w:cs="Calibri" w:hAnsi="Calibri" w:eastAsia="Calibri" w:ascii="Calibri"/>
          <w:b w:val="1"/>
        </w:rPr>
        <w:t xml:space="preserve">Activity 2.1</w:t>
      </w:r>
      <w:r>
        <w:rPr/>
        <w:t xml:space="preserve"> – Training of local self-government representatives on environment protection and tourism development </w:t>
      </w:r>
    </w:p>
    <w:p>
      <w:pPr>
        <w:pStyle w:val="normal"/>
        <w:spacing w:before="0" w:after="55" w:line="228" w:lineRule="auto"/>
        <w:ind w:left="-4" w:right="48"/>
      </w:pPr>
      <w:r>
        <w:rPr/>
        <w:t xml:space="preserve">Informing local governments on the current ecological situation in the protected area around the Vlasina lake, potential risk factors, possible solutions, and their influence on the local community and economic growth. </w:t>
      </w:r>
    </w:p>
    <w:p>
      <w:pPr>
        <w:pStyle w:val="normal"/>
        <w:spacing w:before="0" w:after="77" w:line="228" w:lineRule="auto"/>
        <w:ind w:left="-4" w:right="48"/>
      </w:pPr>
      <w:r>
        <w:rPr/>
        <w:t xml:space="preserve">The basic idea is to gather local self-government representatives from all 13 municipalities of the Jablanica and Pčinja districts, for them to get acquainted with the Vlasina lake nature, existing issues, as well as to enable them to recognize the Vlasina lake as the development potential of not only Surdulica municipality, but the whole region, and to motivate them to actively participate in the Vlasina lake environment protection and tourism development. </w:t>
      </w:r>
    </w:p>
    <w:p>
      <w:pPr>
        <w:pStyle w:val="normal"/>
        <w:tabs>
          <w:tab w:val="right" w:pos="9664"/>
        </w:tabs>
        <w:spacing w:before="0" w:after="78" w:line="228" w:lineRule="auto"/>
        <w:ind w:left="-14" w:right="0" w:firstLine="0"/>
        <w:jc w:val="left"/>
      </w:pPr>
      <w:r>
        <w:rPr/>
        <w:t xml:space="preserve">Time frame:  	This project envisages 2 conferences, in April 2012 and January 2014 </w:t>
      </w:r>
    </w:p>
    <w:p>
      <w:pPr>
        <w:pStyle w:val="normal"/>
        <w:tabs>
          <w:tab w:val="center" w:pos="3902"/>
        </w:tabs>
        <w:spacing w:before="0" w:after="29" w:line="228" w:lineRule="auto"/>
        <w:ind w:left="-14" w:right="0" w:firstLine="0"/>
        <w:jc w:val="left"/>
      </w:pPr>
      <w:r>
        <w:rPr/>
        <w:t xml:space="preserve">Responsible Party: 	RDA Leskovac </w:t>
      </w:r>
    </w:p>
    <w:p>
      <w:pPr>
        <w:spacing w:before="0" w:after="0" w:line="259" w:lineRule="auto"/>
        <w:ind w:left="0" w:right="0" w:firstLine="0"/>
        <w:jc w:val="left"/>
      </w:pPr>
      <w:r>
        <w:rPr/>
        <w:t xml:space="preserve"> </w:t>
      </w:r>
    </w:p>
    <w:p>
      <w:pPr>
        <w:shd w:val="clear" w:color="auto" w:fill="d9d9d9"/>
        <w:spacing w:before="0" w:after="23" w:line="259" w:lineRule="auto"/>
        <w:ind w:left="-5" w:right="0"/>
        <w:jc w:val="left"/>
      </w:pPr>
      <w:r>
        <w:rPr>
          <w:rFonts w:cs="Calibri" w:hAnsi="Calibri" w:eastAsia="Calibri" w:ascii="Calibri"/>
          <w:b w:val="1"/>
        </w:rPr>
        <w:t xml:space="preserve">Activity 2.2</w:t>
      </w:r>
      <w:r>
        <w:rPr/>
        <w:t xml:space="preserve"> – Enabling local travel agencies to promote the Vlasina Lake as a tourist destination more effectively, and to provide better service to customers </w:t>
      </w:r>
    </w:p>
    <w:p>
      <w:pPr>
        <w:pStyle w:val="normal"/>
        <w:spacing w:before="0" w:after="55" w:line="228" w:lineRule="auto"/>
        <w:ind w:left="-4" w:right="48"/>
      </w:pPr>
      <w:r>
        <w:rPr/>
        <w:t xml:space="preserve">This activity will gather all travel agencies from the 13 municipalities of Jablanica and Pčinja districts, so the trainings will have a widespread influence and so the Vlasina Lake as a tourist destination is properly presented to the whole population of southeast Serbia. </w:t>
      </w:r>
    </w:p>
    <w:p>
      <w:pPr>
        <w:pStyle w:val="normal"/>
        <w:spacing w:before="0" w:after="135" w:line="228" w:lineRule="auto"/>
        <w:ind w:left="-4" w:right="48"/>
      </w:pPr>
      <w:r>
        <w:rPr/>
        <w:t xml:space="preserve">Trainings on the following subjects are envisaged: </w:t>
      </w:r>
    </w:p>
    <w:p>
      <w:pPr>
        <w:pStyle w:val="normal"/>
        <w:numPr>
          <w:ilvl w:val="0"/>
          <w:numId w:val="4"/>
        </w:numPr>
        <w:spacing w:before="0" w:after="55" w:line="228" w:lineRule="auto"/>
        <w:ind w:left="294" w:right="48" w:hanging="294"/>
      </w:pPr>
      <w:r>
        <w:rPr/>
        <w:t xml:space="preserve">Customer communication </w:t>
      </w:r>
    </w:p>
    <w:p>
      <w:pPr>
        <w:pStyle w:val="normal"/>
        <w:numPr>
          <w:ilvl w:val="0"/>
          <w:numId w:val="4"/>
        </w:numPr>
        <w:spacing w:before="0" w:after="55" w:line="228" w:lineRule="auto"/>
        <w:ind w:left="294" w:right="48" w:hanging="294"/>
      </w:pPr>
      <w:r>
        <w:rPr/>
        <w:t xml:space="preserve">Delivering presentations </w:t>
      </w:r>
    </w:p>
    <w:p>
      <w:pPr>
        <w:pStyle w:val="normal"/>
        <w:numPr>
          <w:ilvl w:val="0"/>
          <w:numId w:val="4"/>
        </w:numPr>
        <w:spacing w:before="0" w:after="55" w:line="228" w:lineRule="auto"/>
        <w:ind w:left="294" w:right="48" w:hanging="294"/>
      </w:pPr>
      <w:r>
        <w:rPr/>
        <w:t xml:space="preserve">Public appearance skills </w:t>
      </w:r>
    </w:p>
    <w:p>
      <w:pPr>
        <w:pStyle w:val="normal"/>
        <w:numPr>
          <w:ilvl w:val="0"/>
          <w:numId w:val="4"/>
        </w:numPr>
        <w:spacing w:before="0" w:after="55" w:line="228" w:lineRule="auto"/>
        <w:ind w:left="294" w:right="48" w:hanging="294"/>
      </w:pPr>
      <w:r>
        <w:rPr/>
        <w:t xml:space="preserve">Vlasina lake promotion </w:t>
      </w:r>
    </w:p>
    <w:p>
      <w:pPr>
        <w:pStyle w:val="normal"/>
        <w:spacing w:before="0" w:after="77" w:line="228" w:lineRule="auto"/>
        <w:ind w:left="3105" w:right="48" w:hanging="3119"/>
      </w:pPr>
      <w:r>
        <w:rPr/>
        <w:t xml:space="preserve">Time frame:  	This project envisages 4 trainings, throughout September and October </w:t>
      </w:r>
      <w:r>
        <w:rPr/>
        <w:t xml:space="preserve">2012 </w:t>
      </w:r>
    </w:p>
    <w:p>
      <w:pPr>
        <w:pStyle w:val="normal"/>
        <w:tabs>
          <w:tab w:val="center" w:pos="3759"/>
        </w:tabs>
        <w:spacing w:before="0" w:after="29" w:line="228" w:lineRule="auto"/>
        <w:ind w:left="-14" w:right="0" w:firstLine="0"/>
        <w:jc w:val="left"/>
      </w:pPr>
      <w:r>
        <w:rPr/>
        <w:t xml:space="preserve">Responsible Party: 	RDA Leskovac </w:t>
      </w:r>
    </w:p>
    <w:p>
      <w:pPr>
        <w:spacing w:before="0" w:after="0" w:line="259" w:lineRule="auto"/>
        <w:ind w:left="360" w:right="0" w:firstLine="0"/>
        <w:jc w:val="left"/>
      </w:pPr>
      <w:r>
        <w:rPr/>
        <w:t xml:space="preserve"> </w:t>
      </w:r>
    </w:p>
    <w:p>
      <w:pPr>
        <w:shd w:val="clear" w:color="auto" w:fill="d9d9d9"/>
        <w:spacing w:before="0" w:after="23" w:line="259" w:lineRule="auto"/>
        <w:ind w:left="-5" w:right="0"/>
        <w:jc w:val="left"/>
      </w:pPr>
      <w:r>
        <w:rPr>
          <w:rFonts w:cs="Calibri" w:hAnsi="Calibri" w:eastAsia="Calibri" w:ascii="Calibri"/>
          <w:b w:val="1"/>
        </w:rPr>
        <w:t xml:space="preserve">Activity 2.3 </w:t>
      </w:r>
      <w:r>
        <w:rPr/>
        <w:t xml:space="preserve">– Education of Students on Environment Protection </w:t>
      </w:r>
    </w:p>
    <w:p>
      <w:pPr>
        <w:pStyle w:val="normal"/>
        <w:spacing w:before="0" w:after="55" w:line="228" w:lineRule="auto"/>
        <w:ind w:left="-4" w:right="48"/>
      </w:pPr>
      <w:r>
        <w:rPr/>
        <w:t xml:space="preserve">In cooperation with elementary schools from the 6 municipalities of Jablanica and Pčinja districts (Leskovac, Bojnik, Vlasotince, Lebane, Medveđa, Crna Trava), educational lectures on environment protection with a special focus on waters will be held. </w:t>
      </w:r>
    </w:p>
    <w:p>
      <w:pPr>
        <w:pStyle w:val="normal"/>
        <w:spacing w:before="0" w:after="55" w:line="228" w:lineRule="auto"/>
        <w:ind w:left="-4" w:right="48"/>
      </w:pPr>
      <w:r>
        <w:rPr/>
        <w:t xml:space="preserve">The lectures are aimed at children from the third and fourth grades of elementary school and will be held within the subject that deals with science and society. After lectures, drawing and/or literary competitions on the subject of environment protection will be organized at schools. Fifty students with the best applications from all schools will be awarded with one-day educational field trip to the Vlasina Lake. </w:t>
      </w:r>
    </w:p>
    <w:p>
      <w:pPr>
        <w:pStyle w:val="normal"/>
        <w:spacing w:before="0" w:after="89" w:line="228" w:lineRule="auto"/>
        <w:ind w:left="-4" w:right="48"/>
      </w:pPr>
      <w:r>
        <w:rPr/>
        <w:t xml:space="preserve">Field trips are composed of three parts: </w:t>
      </w:r>
    </w:p>
    <w:p>
      <w:pPr>
        <w:pStyle w:val="normal"/>
        <w:numPr>
          <w:ilvl w:val="0"/>
          <w:numId w:val="5"/>
        </w:numPr>
        <w:spacing w:before="0" w:after="55" w:line="228" w:lineRule="auto"/>
        <w:ind w:left="358" w:right="48" w:hanging="358"/>
      </w:pPr>
      <w:r>
        <w:rPr/>
        <w:t xml:space="preserve">The first part of the field trip envisages a visit to the Vlasinka factory located near the lake, and which uses the water from the same springs as the Vlasina lake itself.  </w:t>
      </w:r>
    </w:p>
    <w:p>
      <w:pPr>
        <w:pStyle w:val="normal"/>
        <w:spacing w:before="0" w:after="55" w:line="228" w:lineRule="auto"/>
        <w:ind w:left="368" w:right="48"/>
      </w:pPr>
      <w:r>
        <w:rPr/>
        <w:t xml:space="preserve">During the factory visit a short lecture will be held on the origin of water, the way it is collected from springs, the processing which makes it suitable for consummation, its packaging and transport which makes it available to people in all parts of Serbia. </w:t>
      </w:r>
    </w:p>
    <w:p>
      <w:pPr>
        <w:pStyle w:val="normal"/>
        <w:spacing w:before="0" w:after="0" w:line="228" w:lineRule="auto"/>
        <w:ind w:left="368" w:right="48"/>
      </w:pPr>
      <w:r>
        <w:rPr/>
        <w:t xml:space="preserve">Note: Visits to companies and factories are mainly envisaged by the plan and program for the third and fifth grades of elementary school, i.e. the subjects dealing with science and society, but because of inadequate financial situation of schools they are rarely carried out, so this part of the field trip represents an addition to the syllabus in the form of pragmatic content and unique personal experience. </w:t>
      </w:r>
    </w:p>
    <w:p>
      <w:pPr>
        <w:spacing w:before="0" w:after="2" w:line="259" w:lineRule="auto"/>
        <w:ind w:left="1702" w:right="0" w:firstLine="0"/>
        <w:jc w:val="left"/>
      </w:pPr>
      <w:r>
        <w:rPr/>
        <w:t xml:space="preserve"> </w:t>
      </w:r>
    </w:p>
    <w:p>
      <w:pPr>
        <w:pStyle w:val="normal"/>
        <w:numPr>
          <w:ilvl w:val="0"/>
          <w:numId w:val="5"/>
        </w:numPr>
        <w:spacing w:before="0" w:after="55" w:line="228" w:lineRule="auto"/>
        <w:ind w:left="358" w:right="48" w:hanging="358"/>
      </w:pPr>
      <w:r>
        <w:rPr/>
        <w:t xml:space="preserve">In the second part of the field trip, the children will, accompanied and educated by the lake’s Rangers Department, have an opportunity to get to know its surroundings and learn more about its affluent flora and fauna. </w:t>
      </w:r>
    </w:p>
    <w:p>
      <w:pPr>
        <w:pStyle w:val="normal"/>
        <w:spacing w:before="0" w:after="55" w:line="228" w:lineRule="auto"/>
        <w:ind w:left="368" w:right="48"/>
      </w:pPr>
      <w:r>
        <w:rPr/>
        <w:t xml:space="preserve">The visit will include natural habitats of cormorants, swallows, otters, as well as some rare protected bird species. </w:t>
      </w:r>
    </w:p>
    <w:p>
      <w:pPr>
        <w:pStyle w:val="normal"/>
        <w:spacing w:before="0" w:after="55" w:line="228" w:lineRule="auto"/>
        <w:ind w:left="368" w:right="48"/>
      </w:pPr>
      <w:r>
        <w:rPr/>
        <w:t xml:space="preserve">A tour of the Vlasina lake dam will be organized, along with a lecture on its origin, as well as a walk down the former border with Bulgaria that was moved during the First World War. </w:t>
      </w:r>
    </w:p>
    <w:p>
      <w:pPr>
        <w:pStyle w:val="normal"/>
        <w:spacing w:before="0" w:after="29" w:line="228" w:lineRule="auto"/>
        <w:ind w:left="368" w:right="48"/>
      </w:pPr>
      <w:r>
        <w:rPr/>
        <w:t xml:space="preserve">A lunch will be organized at the end of the second part of the field trip. </w:t>
      </w:r>
    </w:p>
    <w:p>
      <w:pPr>
        <w:spacing w:before="0" w:after="2" w:line="259" w:lineRule="auto"/>
        <w:ind w:left="1702" w:right="0" w:firstLine="0"/>
        <w:jc w:val="left"/>
      </w:pPr>
      <w:r>
        <w:rPr/>
        <w:t xml:space="preserve"> </w:t>
      </w:r>
    </w:p>
    <w:p>
      <w:pPr>
        <w:pStyle w:val="normal"/>
        <w:numPr>
          <w:ilvl w:val="0"/>
          <w:numId w:val="5"/>
        </w:numPr>
        <w:spacing w:before="0" w:after="0" w:line="228" w:lineRule="auto"/>
        <w:ind w:left="358" w:right="48" w:hanging="358"/>
      </w:pPr>
      <w:r>
        <w:rPr/>
        <w:t xml:space="preserve">The third part of the field trip envisages a visit to the protected floating islands at the Vlasina Lake. After the dam construction and formation of the lake, peat moss islands that move (float) on the lake surface appeared. They contain a unique flora and fauna, but they are in the first protection zone so access is allowed only with special permits, and in the case of scientific studies and research. Considering the fact that some birds are unique to the area and that the movement of the islands is visible, they represent an extremely appealing location for contact with nature and education. </w:t>
      </w:r>
    </w:p>
    <w:p>
      <w:pPr>
        <w:spacing w:before="0" w:after="0" w:line="259" w:lineRule="auto"/>
        <w:ind w:left="0" w:right="0" w:firstLine="0"/>
        <w:jc w:val="left"/>
      </w:pPr>
      <w:r>
        <w:rPr/>
        <w:t xml:space="preserve"> </w:t>
      </w:r>
    </w:p>
    <w:p>
      <w:pPr>
        <w:pStyle w:val="normal"/>
        <w:spacing w:before="0" w:after="55" w:line="228" w:lineRule="auto"/>
        <w:ind w:left="-4" w:right="48"/>
      </w:pPr>
      <w:r>
        <w:rPr/>
        <w:t xml:space="preserve">Within this activity, an educational and entertainment website called Eco Sparrow aimed at students (7 to 14 years of age) will also be set up, and it is planned that the website, combined with educational lectures, remains as a permanent, accessible, easily maintained educational tool. All rewarded applications (650) from the competition will be scanned and put up in the website gallery. The Eco Sparrow website will also be included in the Regional Web Portal which has been produced with support of the Austrian Development Agency. </w:t>
      </w:r>
    </w:p>
    <w:p>
      <w:pPr>
        <w:pStyle w:val="normal"/>
        <w:spacing w:before="0" w:after="55" w:line="228" w:lineRule="auto"/>
        <w:ind w:left="-4" w:right="48"/>
      </w:pPr>
      <w:r>
        <w:rPr/>
        <w:t xml:space="preserve">The main idea of the website is to, in a light manner and through games, acquaints children with some of the basic terms related to environment protection, to point out the significance of nature preservation and the ways they can help, as well as to enable socializing and experience exchange via forums. </w:t>
      </w:r>
    </w:p>
    <w:p>
      <w:pPr>
        <w:pStyle w:val="normal"/>
        <w:spacing w:before="0" w:after="115" w:line="228" w:lineRule="auto"/>
        <w:ind w:left="-4" w:right="48"/>
      </w:pPr>
      <w:r>
        <w:rPr/>
        <w:t xml:space="preserve">In the part dedicated to educational games, children are presented with the possibility to choose one of 8 areas: living creatures, climate, energy, air, water, waste, earth or nature.  </w:t>
      </w:r>
    </w:p>
    <w:p>
      <w:pPr>
        <w:pStyle w:val="normal"/>
        <w:spacing w:before="0" w:after="78" w:line="228" w:lineRule="auto"/>
        <w:ind w:left="3248" w:right="48" w:hanging="3262"/>
      </w:pPr>
      <w:r>
        <w:rPr/>
        <w:t xml:space="preserve">Time frame:  Educational lectures and the competition will be held during March and April 2013, so awarded field trips could be organized in May 2013, when the weather conditions are most suitable. The website and educational materials should be prepared during the first project year so they would be in compliance with the budget allocation. </w:t>
      </w:r>
    </w:p>
    <w:p>
      <w:pPr>
        <w:pStyle w:val="normal"/>
        <w:tabs>
          <w:tab w:val="center" w:pos="3902"/>
        </w:tabs>
        <w:spacing w:before="0" w:after="29" w:line="228" w:lineRule="auto"/>
        <w:ind w:left="-14" w:right="0" w:firstLine="0"/>
        <w:jc w:val="left"/>
      </w:pPr>
      <w:r>
        <w:rPr/>
        <w:t xml:space="preserve">Responsible Party:   	RDA Leskovac </w:t>
      </w:r>
    </w:p>
    <w:p>
      <w:pPr>
        <w:spacing w:before="0" w:after="23" w:line="259" w:lineRule="auto"/>
        <w:ind w:left="0" w:right="0" w:firstLine="0"/>
        <w:jc w:val="left"/>
      </w:pPr>
      <w:r>
        <w:rPr/>
        <w:t xml:space="preserve"> </w:t>
      </w:r>
    </w:p>
    <w:p>
      <w:pPr>
        <w:pStyle w:val="heading2"/>
        <w:spacing w:before="0" w:after="20" w:line="259" w:lineRule="auto"/>
        <w:ind w:left="-5"/>
      </w:pPr>
      <w:r>
        <w:rPr/>
        <w:t xml:space="preserve">Output 3: Tourist Infrastructure Construction </w:t>
      </w:r>
    </w:p>
    <w:p>
      <w:pPr>
        <w:pStyle w:val="normal"/>
        <w:spacing w:before="0" w:after="55" w:line="228" w:lineRule="auto"/>
        <w:ind w:left="-4" w:right="48"/>
      </w:pPr>
      <w:r>
        <w:rPr/>
        <w:t xml:space="preserve">Within this output, the construction of new tourist infrastructure at the Vlasina lake and the reconstruction of the existing one are envisaged. The goal is to ease access to certain locations, to integrate and connect them, as well as to provide new content in order to increase number of visits to the Vlasina Lake. </w:t>
      </w:r>
    </w:p>
    <w:p>
      <w:pPr>
        <w:pStyle w:val="normal"/>
        <w:spacing w:before="0" w:after="55" w:line="228" w:lineRule="auto"/>
        <w:ind w:left="-4" w:right="48"/>
      </w:pPr>
      <w:r>
        <w:rPr/>
        <w:t xml:space="preserve">Within this output, two tourist micro centers / rest stops, parking lot for the centers’ visitors, seasonal market, and bird watching platform will be built, 20 tourist info boards will be installed and 7 kilometers of hiking trails will be marked. </w:t>
      </w:r>
    </w:p>
    <w:p>
      <w:pPr>
        <w:pStyle w:val="normal"/>
        <w:spacing w:before="0" w:after="55" w:line="228" w:lineRule="auto"/>
        <w:ind w:left="-4" w:right="48"/>
      </w:pPr>
      <w:r>
        <w:rPr/>
        <w:t xml:space="preserve">Construction of a tourist micro center (VL 1) is envisaged in the southeast part of the lake, nearby the otter habitat and the swallow nesting site. Several hundred meters away, in the bank direction, there is the habitat of a special, protected cormorant species (approximately 600 birds), which makes this location ideal for the bird watching platform. The part of the tableland next to the highway (marked in red) will be transformed into the parking lot for visitors and waste disposal cans will be installed. </w:t>
      </w:r>
    </w:p>
    <w:p>
      <w:pPr>
        <w:pStyle w:val="normal"/>
        <w:spacing w:before="0" w:after="55" w:line="228" w:lineRule="auto"/>
        <w:ind w:left="-4" w:right="48"/>
      </w:pPr>
      <w:r>
        <w:rPr/>
        <w:t xml:space="preserve">This tourist micro center also represents the start of the hiking trail (S1) which follows the lake bank by the contour line, and then ascends towards the inland to the next tourist micro center (VL 2). Further it goes eastward, following the historical monument, i.e. the former Serbia-Bulgaria border that was valid till the end of the First World War, when Serbia was allotted new territories as one of the winners. </w:t>
      </w:r>
    </w:p>
    <w:p>
      <w:pPr>
        <w:pStyle w:val="normal"/>
        <w:spacing w:before="0" w:after="55" w:line="228" w:lineRule="auto"/>
        <w:ind w:left="-4" w:right="48"/>
      </w:pPr>
      <w:r>
        <w:rPr/>
        <w:t xml:space="preserve">The first part of the hiking trail (from VL 1 to VL 2) has a mild ascent and is suitable for family hiking, even with very small children. This part of the trail was also designed so that it facilitates an exquisite view of the entire Vlasina lake, as well as of numerous floating islands. </w:t>
      </w:r>
    </w:p>
    <w:p>
      <w:pPr>
        <w:pStyle w:val="normal"/>
        <w:spacing w:before="0" w:after="55" w:line="228" w:lineRule="auto"/>
        <w:ind w:left="-4" w:right="48"/>
      </w:pPr>
      <w:r>
        <w:rPr/>
        <w:t xml:space="preserve">Construction of a tourist micro center with parking lot on the west side of the lake is envisaged, as well as landscaping of a part of the bank and a fishing pier construction. Two hiking trails begin at the center, one goes south along the lake bank, and the other goes north farther inland, passing by significant cultural and historical monuments. This trail ends at the most north point of the lake, bringing tourists right to the dam. </w:t>
      </w:r>
    </w:p>
    <w:p>
      <w:pPr>
        <w:pStyle w:val="normal"/>
        <w:spacing w:before="0" w:after="0" w:line="228" w:lineRule="auto"/>
        <w:ind w:left="-4" w:right="48"/>
      </w:pPr>
      <w:r>
        <w:rPr/>
        <w:t xml:space="preserve">This part of the lake is the most developed, so it is rich in catering establishments and hotels, and a seasonal market construction is envisaged in this area. From the dam towards north there is a fitness trail 5 kilometres long.  </w:t>
      </w:r>
    </w:p>
    <w:p>
      <w:pPr>
        <w:spacing w:before="0" w:after="0" w:line="259" w:lineRule="auto"/>
        <w:ind w:left="360" w:right="0" w:firstLine="0"/>
        <w:jc w:val="left"/>
      </w:pPr>
      <w:r>
        <w:rPr/>
        <w:t xml:space="preserve"> </w:t>
      </w:r>
    </w:p>
    <w:p>
      <w:pPr>
        <w:shd w:val="clear" w:color="auto" w:fill="d9d9d9"/>
        <w:spacing w:before="0" w:after="23" w:line="259" w:lineRule="auto"/>
        <w:ind w:left="-5" w:right="0"/>
        <w:jc w:val="left"/>
      </w:pPr>
      <w:r>
        <w:rPr>
          <w:rFonts w:cs="Calibri" w:hAnsi="Calibri" w:eastAsia="Calibri" w:ascii="Calibri"/>
          <w:b w:val="1"/>
        </w:rPr>
        <w:t xml:space="preserve">Activity 3.1 </w:t>
      </w:r>
      <w:r>
        <w:rPr/>
        <w:t xml:space="preserve">– Rest Stops and Tourist Micro Centers Construction </w:t>
      </w:r>
    </w:p>
    <w:p>
      <w:pPr>
        <w:pStyle w:val="normal"/>
        <w:spacing w:before="0" w:after="55" w:line="228" w:lineRule="auto"/>
        <w:ind w:left="-4" w:right="48"/>
      </w:pPr>
      <w:r>
        <w:rPr/>
        <w:t xml:space="preserve">Within this activity two tourist micro centers will be built in the second protection zone of the lake, where the law forbids construction to the private sector, so currently there is no adequate tourist infrastructure. In cooperation with the Surdulica Municipality Construction Land Office, which is also the appointed manager of the protected park, locations suitable for the micro centers construction were defined in the process of this project’s preparation. </w:t>
      </w:r>
    </w:p>
    <w:p>
      <w:pPr>
        <w:pStyle w:val="normal"/>
        <w:spacing w:before="0" w:after="55" w:line="228" w:lineRule="auto"/>
        <w:ind w:left="-4" w:right="48"/>
      </w:pPr>
      <w:r>
        <w:rPr/>
        <w:t xml:space="preserve">These micro centers will enable tourists and local community to enjoy in the Vlasina lake nature protected from all weather conditions, nestled amidst intact nature, and they will also serve as places for socializing and family lunches. </w:t>
      </w:r>
    </w:p>
    <w:p>
      <w:pPr>
        <w:pStyle w:val="normal"/>
        <w:spacing w:before="0" w:after="78" w:line="228" w:lineRule="auto"/>
        <w:ind w:left="-4" w:right="48"/>
      </w:pPr>
      <w:r>
        <w:rPr/>
        <w:t xml:space="preserve">Considering the fact that the Vlasina lake and its immediate surroundings represent a protected nature park, in accordance with existing laws it is possible to build only using natural materials, while use of concrete, steel, etc. is prohibited. This is why the tourist micro centers are designed in the form of wooden arbores with benches and tables. Within the tourist micro centers construction, the following is planned: arrangement of the parking lot, access road, electrical lightning, instalment of trash cans and suitable info boards. Tourist micro centers will be set up several hundred meters from the lake bank, near the highway (for easier access). </w:t>
      </w:r>
    </w:p>
    <w:p>
      <w:pPr>
        <w:pStyle w:val="normal"/>
        <w:tabs>
          <w:tab w:val="center" w:pos="6227"/>
        </w:tabs>
        <w:spacing w:before="0" w:after="77" w:line="228" w:lineRule="auto"/>
        <w:ind w:left="-14" w:right="0" w:firstLine="0"/>
        <w:jc w:val="left"/>
      </w:pPr>
      <w:r>
        <w:rPr/>
        <w:t xml:space="preserve">Time frame:  	Tourist micro centers will be built from May2012 to September 2013 </w:t>
      </w:r>
    </w:p>
    <w:p>
      <w:pPr>
        <w:pStyle w:val="normal"/>
        <w:tabs>
          <w:tab w:val="center" w:pos="3759"/>
        </w:tabs>
        <w:spacing w:before="0" w:after="29" w:line="228" w:lineRule="auto"/>
        <w:ind w:left="-14" w:right="0" w:firstLine="0"/>
        <w:jc w:val="left"/>
      </w:pPr>
      <w:r>
        <w:rPr/>
        <w:t xml:space="preserve">Responsible Party:   	RDA Leskovac </w:t>
      </w:r>
    </w:p>
    <w:p>
      <w:pPr>
        <w:spacing w:before="0" w:after="0" w:line="259" w:lineRule="auto"/>
        <w:ind w:left="0" w:right="0" w:firstLine="0"/>
        <w:jc w:val="left"/>
      </w:pPr>
      <w:r>
        <w:rPr/>
        <w:t xml:space="preserve"> </w:t>
      </w:r>
    </w:p>
    <w:p>
      <w:pPr>
        <w:shd w:val="clear" w:color="auto" w:fill="d9d9d9"/>
        <w:spacing w:before="0" w:after="23" w:line="259" w:lineRule="auto"/>
        <w:ind w:left="-5" w:right="0"/>
        <w:jc w:val="left"/>
      </w:pPr>
      <w:r>
        <w:rPr>
          <w:rFonts w:cs="Calibri" w:hAnsi="Calibri" w:eastAsia="Calibri" w:ascii="Calibri"/>
          <w:b w:val="1"/>
        </w:rPr>
        <w:t xml:space="preserve">Activity 3.2 </w:t>
      </w:r>
      <w:r>
        <w:rPr/>
        <w:t xml:space="preserve">– Seasonal market, access road and parking lot construction </w:t>
      </w:r>
      <w:r>
        <w:rPr>
          <w:rFonts w:cs="Calibri" w:hAnsi="Calibri" w:eastAsia="Calibri" w:ascii="Calibri"/>
          <w:b w:val="1"/>
        </w:rPr>
        <w:t xml:space="preserve"> </w:t>
      </w:r>
    </w:p>
    <w:p>
      <w:pPr>
        <w:pStyle w:val="normal"/>
        <w:spacing w:before="0" w:after="78" w:line="228" w:lineRule="auto"/>
        <w:ind w:left="-4" w:right="48"/>
      </w:pPr>
      <w:r>
        <w:rPr/>
        <w:t xml:space="preserve">Presentation of the detailed technical and economic feasibility study of the project. Part of the funding for the tender documents production and the project implementation is already secured. The construction works should be carried out in complete accordance with the legislation and the result should provide a proper seasonal marketplace with access road enabling enhanced trade and income for the local population as well as improved commercial conditions for the visitors.  </w:t>
      </w:r>
    </w:p>
    <w:p>
      <w:pPr>
        <w:pStyle w:val="normal"/>
        <w:tabs>
          <w:tab w:val="center" w:pos="5805"/>
        </w:tabs>
        <w:spacing w:before="0" w:after="77" w:line="228" w:lineRule="auto"/>
        <w:ind w:left="-14" w:right="0" w:firstLine="0"/>
        <w:jc w:val="left"/>
      </w:pPr>
      <w:r>
        <w:rPr/>
        <w:t xml:space="preserve">Time frame:  	Seasonal market will be built from March 2013 to July 2014 </w:t>
      </w:r>
    </w:p>
    <w:p>
      <w:pPr>
        <w:pStyle w:val="normal"/>
        <w:tabs>
          <w:tab w:val="center" w:pos="3759"/>
        </w:tabs>
        <w:spacing w:before="0" w:after="55" w:line="228" w:lineRule="auto"/>
        <w:ind w:left="-14" w:right="0" w:firstLine="0"/>
        <w:jc w:val="left"/>
      </w:pPr>
      <w:r>
        <w:rPr/>
        <w:t xml:space="preserve">Responsible Party: 	RDA Leskovac </w:t>
      </w:r>
    </w:p>
    <w:p>
      <w:pPr>
        <w:spacing w:before="0" w:after="0" w:line="259" w:lineRule="auto"/>
        <w:ind w:left="0" w:right="0" w:firstLine="0"/>
        <w:jc w:val="left"/>
      </w:pPr>
      <w:r>
        <w:rPr/>
        <w:t xml:space="preserve"> </w:t>
      </w:r>
    </w:p>
    <w:p>
      <w:pPr>
        <w:shd w:val="clear" w:color="auto" w:fill="d9d9d9"/>
        <w:spacing w:before="0" w:after="23" w:line="259" w:lineRule="auto"/>
        <w:ind w:left="-5" w:right="0"/>
        <w:jc w:val="left"/>
      </w:pPr>
      <w:r>
        <w:rPr>
          <w:rFonts w:cs="Calibri" w:hAnsi="Calibri" w:eastAsia="Calibri" w:ascii="Calibri"/>
          <w:b w:val="1"/>
        </w:rPr>
        <w:t xml:space="preserve">Activity 3.3 </w:t>
      </w:r>
      <w:r>
        <w:rPr/>
        <w:t xml:space="preserve">– Construction of Bird Watching Platform </w:t>
      </w:r>
      <w:r>
        <w:rPr>
          <w:rFonts w:cs="Calibri" w:hAnsi="Calibri" w:eastAsia="Calibri" w:ascii="Calibri"/>
          <w:b w:val="1"/>
        </w:rPr>
        <w:t xml:space="preserve"> </w:t>
      </w:r>
    </w:p>
    <w:p>
      <w:pPr>
        <w:pStyle w:val="normal"/>
        <w:spacing w:before="0" w:after="55" w:line="228" w:lineRule="auto"/>
        <w:ind w:left="-4" w:right="48"/>
      </w:pPr>
      <w:r>
        <w:rPr/>
        <w:t xml:space="preserve">Enabling and accelerating the development of a special form of tourism – bird watching. </w:t>
      </w:r>
    </w:p>
    <w:p>
      <w:pPr>
        <w:pStyle w:val="normal"/>
        <w:spacing w:before="0" w:after="0" w:line="304" w:lineRule="auto"/>
        <w:ind w:left="-4" w:right="48"/>
      </w:pPr>
      <w:r>
        <w:rPr/>
        <w:t xml:space="preserve">Time frame:  	Bird watching platform will be built from March 2013 to July 2014 Responsible Party:  	RDA Leskovac </w:t>
      </w:r>
    </w:p>
    <w:p>
      <w:pPr>
        <w:spacing w:before="0" w:after="0" w:line="259" w:lineRule="auto"/>
        <w:ind w:left="0" w:right="0" w:firstLine="0"/>
        <w:jc w:val="left"/>
      </w:pPr>
      <w:r>
        <w:rPr/>
        <w:t xml:space="preserve"> </w:t>
      </w:r>
    </w:p>
    <w:p>
      <w:pPr>
        <w:shd w:val="clear" w:color="auto" w:fill="d9d9d9"/>
        <w:spacing w:before="0" w:after="23" w:line="259" w:lineRule="auto"/>
        <w:ind w:left="-5" w:right="0"/>
        <w:jc w:val="left"/>
      </w:pPr>
      <w:r>
        <w:rPr>
          <w:rFonts w:cs="Calibri" w:hAnsi="Calibri" w:eastAsia="Calibri" w:ascii="Calibri"/>
          <w:b w:val="1"/>
        </w:rPr>
        <w:t xml:space="preserve">Activity 3.4 </w:t>
      </w:r>
      <w:r>
        <w:rPr/>
        <w:t xml:space="preserve">– Tourist Info Boards  </w:t>
      </w:r>
    </w:p>
    <w:p>
      <w:pPr>
        <w:pStyle w:val="normal"/>
        <w:spacing w:before="0" w:after="29" w:line="228" w:lineRule="auto"/>
        <w:ind w:left="-4" w:right="48"/>
      </w:pPr>
      <w:r>
        <w:rPr/>
        <w:t xml:space="preserve">Marking of all locations relevant to tourism, such as: cultural and historical monuments, rare bird habitats, catering establishments, hotels, shops. </w:t>
      </w:r>
    </w:p>
    <w:tbl>
      <w:tblPr>
        <w:tblStyle w:val="TableGrid"/>
        <w:tblW w:w="9041" w:type="dxa"/>
        <w:tblInd w:w="0" w:type="dxa"/>
        <w:tblCellMar>
          <w:top w:w="0" w:type="dxa"/>
          <w:left w:w="0" w:type="dxa"/>
          <w:bottom w:w="0" w:type="dxa"/>
          <w:right w:w="0" w:type="dxa"/>
        </w:tblCellMar>
      </w:tblPr>
      <w:tblGrid>
        <w:gridCol w:w="3118"/>
        <w:gridCol w:w="5923"/>
      </w:tblGrid>
      <w:tr>
        <w:trPr>
          <w:trHeight w:val="256" w:hRule="atLeast"/>
        </w:trPr>
        <w:tc>
          <w:tcPr>
            <w:tcW w:w="3118" w:type="dxa"/>
            <w:tcBorders>
              <w:top w:val="nil"/>
              <w:left w:val="nil"/>
              <w:bottom w:val="nil"/>
              <w:right w:val="nil"/>
            </w:tcBorders>
            <w:vAlign w:val="top"/>
          </w:tcPr>
          <w:p>
            <w:pPr>
              <w:spacing w:before="0" w:after="0" w:line="259" w:lineRule="auto"/>
              <w:ind w:left="0" w:right="0" w:firstLine="0"/>
              <w:jc w:val="left"/>
            </w:pPr>
            <w:r>
              <w:rPr/>
              <w:t xml:space="preserve">Time frame:   </w:t>
            </w:r>
          </w:p>
        </w:tc>
        <w:tc>
          <w:tcPr>
            <w:tcW w:w="5923" w:type="dxa"/>
            <w:tcBorders>
              <w:top w:val="nil"/>
              <w:left w:val="nil"/>
              <w:bottom w:val="nil"/>
              <w:right w:val="nil"/>
            </w:tcBorders>
            <w:vAlign w:val="top"/>
          </w:tcPr>
          <w:p>
            <w:pPr>
              <w:spacing w:before="0" w:after="0" w:line="259" w:lineRule="auto"/>
              <w:ind w:left="1" w:right="0" w:firstLine="0"/>
            </w:pPr>
            <w:r>
              <w:rPr/>
              <w:t xml:space="preserve">Info boards will be installed from March 2012 to September2013 </w:t>
            </w:r>
          </w:p>
        </w:tc>
      </w:tr>
      <w:tr>
        <w:trPr>
          <w:trHeight w:val="256" w:hRule="atLeast"/>
        </w:trPr>
        <w:tc>
          <w:tcPr>
            <w:tcW w:w="3118" w:type="dxa"/>
            <w:tcBorders>
              <w:top w:val="nil"/>
              <w:left w:val="nil"/>
              <w:bottom w:val="nil"/>
              <w:right w:val="nil"/>
            </w:tcBorders>
            <w:vAlign w:val="top"/>
          </w:tcPr>
          <w:p>
            <w:pPr>
              <w:spacing w:before="0" w:after="0" w:line="259" w:lineRule="auto"/>
              <w:ind w:left="0" w:right="0" w:firstLine="0"/>
              <w:jc w:val="left"/>
            </w:pPr>
            <w:r>
              <w:rPr/>
              <w:t xml:space="preserve">Responsible Party:  </w:t>
            </w:r>
          </w:p>
        </w:tc>
        <w:tc>
          <w:tcPr>
            <w:tcW w:w="5923" w:type="dxa"/>
            <w:tcBorders>
              <w:top w:val="nil"/>
              <w:left w:val="nil"/>
              <w:bottom w:val="nil"/>
              <w:right w:val="nil"/>
            </w:tcBorders>
            <w:vAlign w:val="top"/>
          </w:tcPr>
          <w:p>
            <w:pPr>
              <w:spacing w:before="0" w:after="0" w:line="259" w:lineRule="auto"/>
              <w:ind w:left="0" w:right="0" w:firstLine="0"/>
              <w:jc w:val="left"/>
            </w:pPr>
            <w:r>
              <w:rPr/>
              <w:t xml:space="preserve">RDA Leskovac </w:t>
            </w:r>
          </w:p>
        </w:tc>
      </w:tr>
    </w:tbl>
    <w:p>
      <w:pPr>
        <w:spacing w:before="0" w:after="0" w:line="259" w:lineRule="auto"/>
        <w:ind w:left="0" w:right="0" w:firstLine="0"/>
        <w:jc w:val="left"/>
      </w:pPr>
      <w:r>
        <w:rPr/>
        <w:t xml:space="preserve"> </w:t>
      </w:r>
    </w:p>
    <w:p>
      <w:pPr>
        <w:shd w:val="clear" w:color="auto" w:fill="d9d9d9"/>
        <w:spacing w:before="0" w:after="23" w:line="259" w:lineRule="auto"/>
        <w:ind w:left="-5" w:right="0"/>
        <w:jc w:val="left"/>
      </w:pPr>
      <w:r>
        <w:rPr>
          <w:rFonts w:cs="Calibri" w:hAnsi="Calibri" w:eastAsia="Calibri" w:ascii="Calibri"/>
          <w:b w:val="1"/>
        </w:rPr>
        <w:t xml:space="preserve">Activity 3.5 </w:t>
      </w:r>
      <w:r>
        <w:rPr/>
        <w:t xml:space="preserve">– Marking of Hiking Trails around the Lake </w:t>
      </w:r>
    </w:p>
    <w:p>
      <w:pPr>
        <w:pStyle w:val="normal"/>
        <w:spacing w:before="0" w:after="78" w:line="228" w:lineRule="auto"/>
        <w:ind w:left="-4" w:right="48"/>
      </w:pPr>
      <w:r>
        <w:rPr/>
        <w:t xml:space="preserve">The hiking trails, already identified in the detailed regulation plan of the Vlasina Lake Spatial Plan, will be marked in coordination and cooperation with the Ranger service. The trails will be designated using GPS devices and marked with proper guide signs describing the surrounding and trails marks.  </w:t>
      </w:r>
    </w:p>
    <w:p>
      <w:pPr>
        <w:pStyle w:val="normal"/>
        <w:tabs>
          <w:tab w:val="right" w:pos="9664"/>
        </w:tabs>
        <w:spacing w:before="0" w:after="29" w:line="228" w:lineRule="auto"/>
        <w:ind w:left="-14" w:right="0" w:firstLine="0"/>
        <w:jc w:val="left"/>
      </w:pPr>
      <w:r>
        <w:rPr/>
        <w:t xml:space="preserve">Time frame:  	Marking of hiking trails will be done from May 2012 to September </w:t>
      </w:r>
    </w:p>
    <w:p>
      <w:pPr>
        <w:pStyle w:val="normal"/>
        <w:spacing w:before="0" w:after="55" w:line="228" w:lineRule="auto"/>
        <w:ind w:left="3129" w:right="48"/>
      </w:pPr>
      <w:r>
        <w:rPr/>
        <w:t xml:space="preserve">2013. </w:t>
      </w:r>
    </w:p>
    <w:p>
      <w:pPr>
        <w:pStyle w:val="normal"/>
        <w:tabs>
          <w:tab w:val="center" w:pos="3759"/>
        </w:tabs>
        <w:spacing w:before="0" w:after="29" w:line="228" w:lineRule="auto"/>
        <w:ind w:left="-14" w:right="0" w:firstLine="0"/>
        <w:jc w:val="left"/>
      </w:pPr>
      <w:r>
        <w:rPr/>
        <w:t xml:space="preserve">Responsible Party: 	RDA Leskovac </w:t>
      </w:r>
    </w:p>
    <w:p>
      <w:pPr>
        <w:spacing w:before="0" w:after="0" w:line="259" w:lineRule="auto"/>
        <w:ind w:left="360" w:right="0" w:firstLine="0"/>
        <w:jc w:val="left"/>
      </w:pPr>
      <w:r>
        <w:rPr/>
        <w:t xml:space="preserve"> </w:t>
      </w:r>
    </w:p>
    <w:p>
      <w:pPr>
        <w:pStyle w:val="heading2"/>
        <w:spacing w:before="0" w:after="20" w:line="259" w:lineRule="auto"/>
        <w:ind w:left="-5"/>
      </w:pPr>
      <w:r>
        <w:rPr/>
        <w:t xml:space="preserve">Output 4: Environment Protection Support </w:t>
      </w:r>
    </w:p>
    <w:p>
      <w:pPr>
        <w:spacing w:before="0" w:after="133" w:line="259" w:lineRule="auto"/>
        <w:ind w:left="0" w:right="0" w:firstLine="0"/>
        <w:jc w:val="left"/>
      </w:pPr>
      <w:r>
        <w:rPr>
          <w:sz w:val="6"/>
        </w:rPr>
        <w:t xml:space="preserve"> </w:t>
      </w:r>
    </w:p>
    <w:p>
      <w:pPr>
        <w:shd w:val="clear" w:color="auto" w:fill="d9d9d9"/>
        <w:spacing w:before="0" w:after="23" w:line="259" w:lineRule="auto"/>
        <w:ind w:left="-5" w:right="0"/>
        <w:jc w:val="left"/>
      </w:pPr>
      <w:r>
        <w:rPr>
          <w:rFonts w:cs="Calibri" w:hAnsi="Calibri" w:eastAsia="Calibri" w:ascii="Calibri"/>
          <w:b w:val="1"/>
        </w:rPr>
        <w:t xml:space="preserve">Activity 4.1 </w:t>
      </w:r>
      <w:r>
        <w:rPr/>
        <w:t xml:space="preserve">– Procurement of a patrol boat to the Vlasina lake ranger service </w:t>
      </w:r>
    </w:p>
    <w:p>
      <w:pPr>
        <w:pStyle w:val="normal"/>
        <w:spacing w:before="0" w:after="55" w:line="228" w:lineRule="auto"/>
        <w:ind w:left="-4" w:right="48"/>
      </w:pPr>
      <w:r>
        <w:rPr/>
        <w:t xml:space="preserve">The PUC "Direkcija za izgradnju Surdulice" has been appointed by the Government of Serbia as the custodian of the Vlasina Lake Protected Area of Nature and as such has established a ranger service with the tasks to ensure full protection of the nature in the Vlasina Lake resort.  </w:t>
      </w:r>
    </w:p>
    <w:p>
      <w:pPr>
        <w:pStyle w:val="normal"/>
        <w:spacing w:before="0" w:after="78" w:line="228" w:lineRule="auto"/>
        <w:ind w:left="-4" w:right="48"/>
      </w:pPr>
      <w:r>
        <w:rPr/>
        <w:t xml:space="preserve">The ranger service is covering the lake itself and the surrounding area and as such has a number of people that are in the field and on the lake on daily basis. The Ranger service is facing a number of challenges and problems in their work and has an increasing need for additional training and equipment. Within this Output each activity will be dedicated to one of the needs that the ranger service has. Within this very activity the project will procure and hand over for permanent use one patrol boat for the Ranger service in order to increase the frequency and area covered during lake patrols and illegal fishing prevention.  </w:t>
      </w:r>
    </w:p>
    <w:p>
      <w:pPr>
        <w:pStyle w:val="normal"/>
        <w:tabs>
          <w:tab w:val="center" w:pos="6002"/>
        </w:tabs>
        <w:spacing w:before="0" w:after="77" w:line="228" w:lineRule="auto"/>
        <w:ind w:left="-14" w:right="0" w:firstLine="0"/>
        <w:jc w:val="left"/>
      </w:pPr>
      <w:r>
        <w:rPr/>
        <w:t xml:space="preserve">Time frame:  	This activity will be implemented from March 2013 to July 2013 </w:t>
      </w:r>
    </w:p>
    <w:p>
      <w:pPr>
        <w:pStyle w:val="normal"/>
        <w:tabs>
          <w:tab w:val="center" w:pos="3759"/>
        </w:tabs>
        <w:spacing w:before="0" w:after="29" w:line="228" w:lineRule="auto"/>
        <w:ind w:left="-14" w:right="0" w:firstLine="0"/>
        <w:jc w:val="left"/>
      </w:pPr>
      <w:r>
        <w:rPr/>
        <w:t xml:space="preserve">Responsible Party:  	RDA Leskovac </w:t>
      </w:r>
    </w:p>
    <w:p>
      <w:pPr>
        <w:spacing w:before="0" w:after="0" w:line="259" w:lineRule="auto"/>
        <w:ind w:left="360" w:right="0" w:firstLine="0"/>
        <w:jc w:val="left"/>
      </w:pPr>
      <w:r>
        <w:rPr/>
        <w:t xml:space="preserve"> </w:t>
      </w:r>
    </w:p>
    <w:p>
      <w:pPr>
        <w:shd w:val="clear" w:color="auto" w:fill="d9d9d9"/>
        <w:spacing w:before="0" w:after="23" w:line="259" w:lineRule="auto"/>
        <w:ind w:left="-5" w:right="0"/>
        <w:jc w:val="left"/>
      </w:pPr>
      <w:r>
        <w:rPr>
          <w:rFonts w:cs="Calibri" w:hAnsi="Calibri" w:eastAsia="Calibri" w:ascii="Calibri"/>
          <w:b w:val="1"/>
        </w:rPr>
        <w:t xml:space="preserve">Activity 4.2</w:t>
      </w:r>
      <w:r>
        <w:rPr/>
        <w:t xml:space="preserve"> – Procurement of containers for public waste collection </w:t>
      </w:r>
    </w:p>
    <w:p>
      <w:pPr>
        <w:pStyle w:val="normal"/>
        <w:spacing w:before="0" w:after="77" w:line="228" w:lineRule="auto"/>
        <w:ind w:left="-4" w:right="48"/>
      </w:pPr>
      <w:r>
        <w:rPr/>
        <w:t xml:space="preserve">In order to increase the efficiency in waste collection and decrease the number and quantity of illegally dumped solid waste in the Vlasina Lake area, the project will procure 15 garbage containers that will be located on key spots in the tourist settlements and alongside the key points of the shore. These will become an integral part of the existing Vlasina Lake solid waste management schedule and system and will be handed over to the PUC "Komunalac" in Surdulica that has the jurisdiction over the waste collection in the Vlasina Lake area.    </w:t>
      </w:r>
    </w:p>
    <w:p>
      <w:pPr>
        <w:pStyle w:val="normal"/>
        <w:tabs>
          <w:tab w:val="center" w:pos="6002"/>
        </w:tabs>
        <w:spacing w:before="0" w:after="78" w:line="228" w:lineRule="auto"/>
        <w:ind w:left="-14" w:right="0" w:firstLine="0"/>
        <w:jc w:val="left"/>
      </w:pPr>
      <w:r>
        <w:rPr/>
        <w:t xml:space="preserve">Time frame:  	This activity will be implemented from March 2013 to July 2013 </w:t>
      </w:r>
    </w:p>
    <w:p>
      <w:pPr>
        <w:pStyle w:val="normal"/>
        <w:tabs>
          <w:tab w:val="center" w:pos="3759"/>
        </w:tabs>
        <w:spacing w:before="0" w:after="29" w:line="228" w:lineRule="auto"/>
        <w:ind w:left="-14" w:right="0" w:firstLine="0"/>
        <w:jc w:val="left"/>
      </w:pPr>
      <w:r>
        <w:rPr/>
        <w:t xml:space="preserve">Responsible Party: 	RDA Leskovac </w:t>
      </w:r>
    </w:p>
    <w:p>
      <w:pPr>
        <w:spacing w:before="0" w:after="0" w:line="259" w:lineRule="auto"/>
        <w:ind w:left="360" w:right="0" w:firstLine="0"/>
        <w:jc w:val="left"/>
      </w:pPr>
      <w:r>
        <w:rPr/>
        <w:t xml:space="preserve"> </w:t>
      </w:r>
    </w:p>
    <w:p>
      <w:pPr>
        <w:pStyle w:val="heading2"/>
        <w:shd w:val="clear" w:color="auto" w:fill="d9d9d9"/>
        <w:spacing w:before="0" w:after="20" w:line="259" w:lineRule="auto"/>
        <w:ind w:left="-5"/>
      </w:pPr>
      <w:r>
        <w:rPr/>
        <w:t xml:space="preserve">Activity 4.3 – Increasing Rangers Department capacities (training)  </w:t>
      </w:r>
    </w:p>
    <w:p>
      <w:pPr>
        <w:pStyle w:val="normal"/>
        <w:spacing w:before="0" w:after="78" w:line="228" w:lineRule="auto"/>
        <w:ind w:left="-4" w:right="48"/>
      </w:pPr>
      <w:r>
        <w:rPr/>
        <w:t xml:space="preserve">This activity will provide opportunities for the Rangers to acquire additional skills and knowledge on environment protection, Vlasina Lake endemic species, legal procedures, operational issues, life saving skills, relations with the population living in the PA, public relations, etc.,  as per a detailed TNA yet to be done in coordination and cooperation with the  PUC "Direkcija". Trainings will be of the "hand-on-job" nature and will also provide an opportunity for experience exchange and best practice models introduction from other PAs in Serbia. </w:t>
      </w:r>
    </w:p>
    <w:p>
      <w:pPr>
        <w:pStyle w:val="normal"/>
        <w:tabs>
          <w:tab w:val="center" w:pos="6002"/>
        </w:tabs>
        <w:spacing w:before="0" w:after="77" w:line="228" w:lineRule="auto"/>
        <w:ind w:left="-14" w:right="0" w:firstLine="0"/>
        <w:jc w:val="left"/>
      </w:pPr>
      <w:r>
        <w:rPr/>
        <w:t xml:space="preserve">Time frame:  	This activity will be implemented from March 2013 to July 2013 </w:t>
      </w:r>
    </w:p>
    <w:p>
      <w:pPr>
        <w:pStyle w:val="normal"/>
        <w:tabs>
          <w:tab w:val="center" w:pos="3759"/>
        </w:tabs>
        <w:spacing w:before="0" w:after="29" w:line="228" w:lineRule="auto"/>
        <w:ind w:left="-14" w:right="0" w:firstLine="0"/>
        <w:jc w:val="left"/>
      </w:pPr>
      <w:r>
        <w:rPr/>
        <w:t xml:space="preserve">Responsible Party: 	RDA Leskovac </w:t>
      </w:r>
    </w:p>
    <w:p>
      <w:pPr>
        <w:spacing w:before="0" w:after="0" w:line="259" w:lineRule="auto"/>
        <w:ind w:left="0" w:right="0" w:firstLine="0"/>
        <w:jc w:val="left"/>
      </w:pPr>
      <w:r>
        <w:rPr/>
        <w:t xml:space="preserve"> </w:t>
      </w:r>
    </w:p>
    <w:p>
      <w:pPr>
        <w:shd w:val="clear" w:color="auto" w:fill="d9d9d9"/>
        <w:spacing w:before="0" w:after="23" w:line="259" w:lineRule="auto"/>
        <w:ind w:left="-5" w:right="0"/>
        <w:jc w:val="left"/>
      </w:pPr>
      <w:r>
        <w:rPr>
          <w:rFonts w:cs="Calibri" w:hAnsi="Calibri" w:eastAsia="Calibri" w:ascii="Calibri"/>
          <w:b w:val="1"/>
        </w:rPr>
        <w:t xml:space="preserve">Activity 4.4</w:t>
      </w:r>
      <w:r>
        <w:rPr/>
        <w:t xml:space="preserve"> – Procurement of equipment for the Construction Land Office and Rangers Department </w:t>
      </w:r>
    </w:p>
    <w:p>
      <w:pPr>
        <w:pStyle w:val="normal"/>
        <w:spacing w:before="0" w:after="77" w:line="228" w:lineRule="auto"/>
        <w:ind w:left="-4" w:right="48"/>
      </w:pPr>
      <w:r>
        <w:rPr/>
        <w:t xml:space="preserve">As the Ranger service working under the auspices of the PUC "Direkcija" from Surdulica still does not have a Field Office in the Vlasina Lake PA, the service functions through 12 hours shifts travelling for each shift from Surdulica and back (30km in one direction). The construction of the field office that will enable permanent presence in the very PA is planned and will be conducted in the year 2011. However, there are funds allocated by the municipality for the mere construction, while no funding is allocated for equipping the office with furniture and needed technical devices. This project will allocated funds and procure some the needed equipment after the construction of the building is finished.  </w:t>
      </w:r>
    </w:p>
    <w:p>
      <w:pPr>
        <w:pStyle w:val="normal"/>
        <w:tabs>
          <w:tab w:val="center" w:pos="6002"/>
        </w:tabs>
        <w:spacing w:before="0" w:after="78" w:line="228" w:lineRule="auto"/>
        <w:ind w:left="-14" w:right="0" w:firstLine="0"/>
        <w:jc w:val="left"/>
      </w:pPr>
      <w:r>
        <w:rPr/>
        <w:t xml:space="preserve">Time frame:  	This activity will be implemented from March 2013 to July 2013 </w:t>
      </w:r>
    </w:p>
    <w:p>
      <w:pPr>
        <w:pStyle w:val="normal"/>
        <w:tabs>
          <w:tab w:val="center" w:pos="3759"/>
        </w:tabs>
        <w:spacing w:before="0" w:after="29" w:line="228" w:lineRule="auto"/>
        <w:ind w:left="-14" w:right="0" w:firstLine="0"/>
        <w:jc w:val="left"/>
      </w:pPr>
      <w:r>
        <w:rPr/>
        <w:t xml:space="preserve">Responsible Party:   	RDA Leskovac </w:t>
      </w:r>
    </w:p>
    <w:p>
      <w:pPr>
        <w:spacing w:before="0" w:after="17" w:line="259" w:lineRule="auto"/>
        <w:ind w:left="0" w:right="0" w:firstLine="0"/>
        <w:jc w:val="left"/>
      </w:pPr>
      <w:r>
        <w:rPr>
          <w:rFonts w:cs="Calibri" w:hAnsi="Calibri" w:eastAsia="Calibri" w:ascii="Calibri"/>
          <w:b w:val="1"/>
        </w:rPr>
        <w:t xml:space="preserve"> </w:t>
      </w:r>
    </w:p>
    <w:p>
      <w:pPr>
        <w:numPr>
          <w:ilvl w:val="0"/>
          <w:numId w:val="6"/>
        </w:numPr>
        <w:spacing w:before="0" w:after="3" w:line="259" w:lineRule="auto"/>
        <w:ind w:left="285" w:right="0" w:hanging="285"/>
        <w:jc w:val="left"/>
      </w:pPr>
      <w:r>
        <w:rPr>
          <w:rFonts w:cs="Calibri" w:hAnsi="Calibri" w:eastAsia="Calibri" w:ascii="Calibri"/>
          <w:b w:val="1"/>
          <w:sz w:val="28"/>
        </w:rPr>
        <w:t xml:space="preserve">Key Stakeholders: </w:t>
      </w:r>
    </w:p>
    <w:p>
      <w:pPr>
        <w:spacing w:before="0" w:after="1" w:line="259" w:lineRule="auto"/>
        <w:ind w:left="0" w:right="0" w:firstLine="0"/>
        <w:jc w:val="left"/>
      </w:pPr>
      <w:r>
        <w:rPr/>
        <w:t xml:space="preserve"> </w:t>
      </w:r>
    </w:p>
    <w:p>
      <w:pPr>
        <w:pStyle w:val="normal"/>
        <w:numPr>
          <w:ilvl w:val="1"/>
          <w:numId w:val="6"/>
        </w:numPr>
        <w:spacing w:before="0" w:after="29" w:line="228" w:lineRule="auto"/>
        <w:ind w:left="709" w:right="48" w:hanging="349"/>
      </w:pPr>
      <w:r>
        <w:rPr/>
        <w:t xml:space="preserve">The Coca-Cola System  </w:t>
      </w:r>
    </w:p>
    <w:p>
      <w:pPr>
        <w:pStyle w:val="normal"/>
        <w:numPr>
          <w:ilvl w:val="1"/>
          <w:numId w:val="6"/>
        </w:numPr>
        <w:spacing w:before="0" w:after="30" w:line="228" w:lineRule="auto"/>
        <w:ind w:left="709" w:right="48" w:hanging="349"/>
      </w:pPr>
      <w:r>
        <w:rPr/>
        <w:t xml:space="preserve">UNDP  </w:t>
      </w:r>
    </w:p>
    <w:p>
      <w:pPr>
        <w:pStyle w:val="normal"/>
        <w:numPr>
          <w:ilvl w:val="1"/>
          <w:numId w:val="6"/>
        </w:numPr>
        <w:spacing w:before="0" w:after="29" w:line="228" w:lineRule="auto"/>
        <w:ind w:left="709" w:right="48" w:hanging="349"/>
      </w:pPr>
      <w:r>
        <w:rPr/>
        <w:t xml:space="preserve">Ministry of Environment, Mining and Spatial Planning  </w:t>
      </w:r>
    </w:p>
    <w:p>
      <w:pPr>
        <w:pStyle w:val="normal"/>
        <w:numPr>
          <w:ilvl w:val="1"/>
          <w:numId w:val="6"/>
        </w:numPr>
        <w:spacing w:before="0" w:after="29" w:line="228" w:lineRule="auto"/>
        <w:ind w:left="709" w:right="48" w:hanging="349"/>
      </w:pPr>
      <w:r>
        <w:rPr/>
        <w:t xml:space="preserve">Center for Development of Jablanica and Pčinja Districts (RDA Leskovac)  </w:t>
      </w:r>
    </w:p>
    <w:p>
      <w:pPr>
        <w:pStyle w:val="normal"/>
        <w:numPr>
          <w:ilvl w:val="1"/>
          <w:numId w:val="6"/>
        </w:numPr>
        <w:spacing w:before="0" w:after="29" w:line="228" w:lineRule="auto"/>
        <w:ind w:left="709" w:right="48" w:hanging="349"/>
      </w:pPr>
      <w:r>
        <w:rPr/>
        <w:t xml:space="preserve">Surdulica Municipality / Vlasina Lake PA  </w:t>
      </w:r>
    </w:p>
    <w:p>
      <w:pPr>
        <w:spacing w:before="0" w:after="77" w:line="259" w:lineRule="auto"/>
        <w:ind w:left="0" w:right="0" w:firstLine="0"/>
        <w:jc w:val="left"/>
      </w:pPr>
      <w:r>
        <w:rPr/>
        <w:t xml:space="preserve"> </w:t>
      </w:r>
    </w:p>
    <w:p>
      <w:pPr>
        <w:numPr>
          <w:ilvl w:val="0"/>
          <w:numId w:val="6"/>
        </w:numPr>
        <w:spacing w:before="0" w:after="3" w:line="259" w:lineRule="auto"/>
        <w:ind w:left="285" w:right="0" w:hanging="285"/>
        <w:jc w:val="left"/>
      </w:pPr>
      <w:r>
        <w:rPr>
          <w:rFonts w:cs="Calibri" w:hAnsi="Calibri" w:eastAsia="Calibri" w:ascii="Calibri"/>
          <w:b w:val="1"/>
          <w:sz w:val="28"/>
        </w:rPr>
        <w:t xml:space="preserve">Project Compliance with Existing Development Strategies </w:t>
      </w:r>
    </w:p>
    <w:p>
      <w:pPr>
        <w:spacing w:before="0" w:after="0" w:line="259" w:lineRule="auto"/>
        <w:ind w:left="0" w:right="0" w:firstLine="0"/>
        <w:jc w:val="left"/>
      </w:pPr>
      <w:r>
        <w:rPr/>
        <w:t xml:space="preserve"> </w:t>
      </w:r>
    </w:p>
    <w:p>
      <w:pPr>
        <w:pStyle w:val="normal"/>
        <w:spacing w:before="0" w:after="0" w:line="228" w:lineRule="auto"/>
        <w:ind w:left="-4" w:right="48"/>
      </w:pPr>
      <w:r>
        <w:rPr/>
        <w:t xml:space="preserve">The Vlasina Lake Ecotourism Promotion and Environment Protection joint project of UNDP Serbia and the Coca-Cola System’s social responsibility program is fully in line with the following strategies, action plans and projects: </w:t>
      </w:r>
    </w:p>
    <w:p>
      <w:pPr>
        <w:spacing w:before="0" w:after="0" w:line="259" w:lineRule="auto"/>
        <w:ind w:left="0" w:right="0" w:firstLine="0"/>
        <w:jc w:val="left"/>
      </w:pPr>
      <w:r>
        <w:rPr/>
        <w:t xml:space="preserve"> </w:t>
      </w:r>
    </w:p>
    <w:p>
      <w:pPr>
        <w:spacing w:before="0" w:after="0" w:line="259" w:lineRule="auto"/>
        <w:ind w:left="-4" w:right="0"/>
        <w:jc w:val="left"/>
      </w:pPr>
      <w:r>
        <w:rPr>
          <w:rFonts w:cs="Calibri" w:hAnsi="Calibri" w:eastAsia="Calibri" w:ascii="Calibri"/>
          <w:b w:val="1"/>
        </w:rPr>
        <w:t xml:space="preserve">National Strategy for Sustainable Development: </w:t>
      </w:r>
    </w:p>
    <w:p>
      <w:pPr>
        <w:spacing w:before="0" w:after="0" w:line="259" w:lineRule="auto"/>
        <w:ind w:left="720" w:right="0" w:firstLine="0"/>
        <w:jc w:val="left"/>
      </w:pPr>
      <w:r>
        <w:rPr/>
        <w:t xml:space="preserve"> </w:t>
      </w:r>
    </w:p>
    <w:p>
      <w:pPr>
        <w:pStyle w:val="normal"/>
        <w:spacing w:before="0" w:after="55" w:line="228" w:lineRule="auto"/>
        <w:ind w:left="-4" w:right="48"/>
      </w:pPr>
      <w:r>
        <w:rPr/>
        <w:t xml:space="preserve">Within this strategy three basic pillars of sustainable development (environment protection, economic and social infrastructure) are defined, as well as priorities in their development, and a string of measures which will enhance Serbia’s activities in achieving sustainable development.  </w:t>
      </w:r>
    </w:p>
    <w:p>
      <w:pPr>
        <w:pStyle w:val="normal"/>
        <w:spacing w:before="0" w:after="29" w:line="228" w:lineRule="auto"/>
        <w:ind w:left="-4" w:right="48"/>
      </w:pPr>
      <w:r>
        <w:rPr/>
        <w:t xml:space="preserve">Some of the mentioned priorities such as development of economy and its development measures (e.g. </w:t>
      </w:r>
    </w:p>
    <w:p>
      <w:pPr>
        <w:pStyle w:val="normal"/>
        <w:spacing w:before="0" w:after="29" w:line="228" w:lineRule="auto"/>
        <w:ind w:left="-4" w:right="48"/>
      </w:pPr>
      <w:r>
        <w:rPr/>
        <w:t xml:space="preserve">tourism development), i.e. environment protection </w:t>
      </w:r>
    </w:p>
    <w:p>
      <w:pPr>
        <w:spacing w:before="0" w:after="0" w:line="259" w:lineRule="auto"/>
        <w:ind w:left="0" w:right="0" w:firstLine="0"/>
        <w:jc w:val="left"/>
      </w:pPr>
      <w:r>
        <w:rPr/>
        <w:t xml:space="preserve"> </w:t>
      </w:r>
    </w:p>
    <w:p>
      <w:pPr>
        <w:spacing w:before="0" w:after="0" w:line="259" w:lineRule="auto"/>
        <w:ind w:left="-4" w:right="0"/>
        <w:jc w:val="left"/>
      </w:pPr>
      <w:r>
        <w:rPr>
          <w:rFonts w:cs="Calibri" w:hAnsi="Calibri" w:eastAsia="Calibri" w:ascii="Calibri"/>
          <w:b w:val="1"/>
        </w:rPr>
        <w:t xml:space="preserve">National Strategy for Regional Development: </w:t>
      </w:r>
    </w:p>
    <w:p>
      <w:pPr>
        <w:spacing w:before="0" w:after="0" w:line="259" w:lineRule="auto"/>
        <w:ind w:left="0" w:right="0" w:firstLine="0"/>
        <w:jc w:val="left"/>
      </w:pPr>
      <w:r>
        <w:rPr/>
        <w:t xml:space="preserve"> </w:t>
      </w:r>
    </w:p>
    <w:p>
      <w:pPr>
        <w:pStyle w:val="normal"/>
        <w:spacing w:before="0" w:after="0" w:line="228" w:lineRule="auto"/>
        <w:ind w:left="-4" w:right="48"/>
      </w:pPr>
      <w:r>
        <w:rPr/>
        <w:t xml:space="preserve">Within this strategy the need for uniform regional development on the entire territory of the Republic of Serbia is defined, i.e. the need for uniform local self-government development. South and southeast Serbia are included in the project and are some of the least developed areas in Serbia, so their economic and tourism development is completely in compliance and supports key priorities of this strategy. </w:t>
      </w:r>
    </w:p>
    <w:p>
      <w:pPr>
        <w:spacing w:before="0" w:after="0" w:line="259" w:lineRule="auto"/>
        <w:ind w:left="0" w:right="0" w:firstLine="0"/>
        <w:jc w:val="left"/>
      </w:pPr>
      <w:r>
        <w:rPr/>
        <w:t xml:space="preserve"> </w:t>
      </w:r>
    </w:p>
    <w:p>
      <w:pPr>
        <w:spacing w:before="0" w:after="0" w:line="259" w:lineRule="auto"/>
        <w:ind w:left="-4" w:right="0"/>
        <w:jc w:val="left"/>
      </w:pPr>
      <w:r>
        <w:rPr>
          <w:rFonts w:cs="Calibri" w:hAnsi="Calibri" w:eastAsia="Calibri" w:ascii="Calibri"/>
          <w:b w:val="1"/>
        </w:rPr>
        <w:t xml:space="preserve">Local Strategy for Sustainable Development: </w:t>
      </w:r>
    </w:p>
    <w:p>
      <w:pPr>
        <w:spacing w:before="0" w:after="0" w:line="259" w:lineRule="auto"/>
        <w:ind w:left="0" w:right="0" w:firstLine="0"/>
        <w:jc w:val="left"/>
      </w:pPr>
      <w:r>
        <w:rPr/>
        <w:t xml:space="preserve"> </w:t>
      </w:r>
    </w:p>
    <w:p>
      <w:pPr>
        <w:pStyle w:val="normal"/>
        <w:spacing w:before="0" w:after="0" w:line="228" w:lineRule="auto"/>
        <w:ind w:left="-4" w:right="48"/>
      </w:pPr>
      <w:r>
        <w:rPr/>
        <w:t xml:space="preserve">Local self-government adopted the document Surdulica Municipality Sustainable Development Strategy, which also envisages accelerated engagement in the Vlasina lake tourism development. </w:t>
      </w:r>
    </w:p>
    <w:p>
      <w:pPr>
        <w:spacing w:before="0" w:after="0" w:line="259" w:lineRule="auto"/>
        <w:ind w:left="0" w:right="0" w:firstLine="0"/>
        <w:jc w:val="left"/>
      </w:pPr>
      <w:r>
        <w:rPr/>
        <w:t xml:space="preserve"> </w:t>
      </w:r>
    </w:p>
    <w:p>
      <w:pPr>
        <w:spacing w:before="0" w:after="0" w:line="259" w:lineRule="auto"/>
        <w:ind w:left="-4" w:right="0"/>
        <w:jc w:val="left"/>
      </w:pPr>
      <w:r>
        <w:rPr>
          <w:rFonts w:cs="Calibri" w:hAnsi="Calibri" w:eastAsia="Calibri" w:ascii="Calibri"/>
          <w:b w:val="1"/>
        </w:rPr>
        <w:t xml:space="preserve">Vlasina Lake Tourism Development Feasibility Study: </w:t>
      </w:r>
    </w:p>
    <w:p>
      <w:pPr>
        <w:spacing w:before="0" w:after="20" w:line="259" w:lineRule="auto"/>
        <w:ind w:left="0" w:right="0" w:firstLine="0"/>
        <w:jc w:val="left"/>
      </w:pPr>
      <w:r>
        <w:rPr/>
        <w:t xml:space="preserve"> </w:t>
      </w:r>
    </w:p>
    <w:p>
      <w:pPr>
        <w:pStyle w:val="normal"/>
        <w:spacing w:before="0" w:after="55" w:line="228" w:lineRule="auto"/>
        <w:ind w:left="-4" w:right="48"/>
      </w:pPr>
      <w:r>
        <w:rPr/>
        <w:t xml:space="preserve">Within the Municipal Infrastructure Support Programme – MISP, financed by the European Union, a complete and comprehensive technical and economic feasibility study for the Vlasina lake tourism development project was produced. </w:t>
      </w:r>
    </w:p>
    <w:p>
      <w:pPr>
        <w:pStyle w:val="normal"/>
        <w:spacing w:before="0" w:after="0" w:line="228" w:lineRule="auto"/>
        <w:ind w:left="-4" w:right="48"/>
      </w:pPr>
      <w:r>
        <w:rPr/>
        <w:t xml:space="preserve">This project is fully based on the said study regarding its outputs in relation to tourist infrastructure construction, as well as education and local tourist operators’ capacities building. </w:t>
      </w:r>
    </w:p>
    <w:p>
      <w:pPr>
        <w:spacing w:before="0" w:after="0" w:line="259" w:lineRule="auto"/>
        <w:ind w:left="0" w:right="0" w:firstLine="0"/>
        <w:jc w:val="left"/>
      </w:pPr>
      <w:r>
        <w:rPr/>
        <w:t xml:space="preserve"> </w:t>
      </w:r>
    </w:p>
    <w:p>
      <w:pPr>
        <w:spacing w:before="0" w:after="0" w:line="259" w:lineRule="auto"/>
        <w:ind w:left="0" w:right="0" w:firstLine="0"/>
        <w:jc w:val="left"/>
      </w:pPr>
      <w:r>
        <w:rPr>
          <w:rFonts w:cs="Arial" w:hAnsi="Arial" w:eastAsia="Arial" w:ascii="Arial"/>
        </w:rPr>
        <w:t xml:space="preserve"> </w:t>
      </w:r>
    </w:p>
    <w:p>
      <w:pPr>
        <w:spacing w:before="0" w:after="104" w:line="259" w:lineRule="auto"/>
        <w:ind w:left="-30" w:right="0" w:firstLine="0"/>
        <w:jc w:val="left"/>
      </w:pPr>
      <w:r>
        <w:rPr>
          <w:rFonts w:cs="Calibri" w:hAnsi="Calibri" w:eastAsia="Calibri" w:ascii="Calibri"/>
          <w:sz w:val="22"/>
        </w:rPr>
        <w:drawing>
          <wp:inline distT="0" distB="0" distL="0" distR="0">
            <wp:extent cx="6135624" cy="6096"/>
            <wp:docPr id="67397" name="Group 67397"/>
            <wp:cNvGraphicFramePr/>
            <a:graphic>
              <a:graphicData uri="http://schemas.microsoft.com/office/word/2010/wordprocessingGroup">
                <wpg:wgp>
                  <wpg:cNvGrpSpPr/>
                  <wpg:grpSpPr>
                    <a:xfrm>
                      <a:off x="0" y="0"/>
                      <a:ext cx="6135624" cy="6096"/>
                      <a:chOff x="0" y="0"/>
                      <a:chExt cx="6135624" cy="6096"/>
                    </a:xfrm>
                  </wpg:grpSpPr>
                  <wps:wsp>
                    <wps:cNvPr id="81166" name="Shape 81166"/>
                    <wps:cNvSpPr/>
                    <wps:spPr>
                      <a:xfrm>
                        <a:off x="0" y="0"/>
                        <a:ext cx="6135624" cy="9144"/>
                      </a:xfrm>
                      <a:custGeom>
                        <a:pathLst>
                          <a:path w="6135624" h="9144">
                            <a:moveTo>
                              <a:pt x="0" y="0"/>
                            </a:moveTo>
                            <a:lnTo>
                              <a:pt x="6135624" y="0"/>
                            </a:lnTo>
                            <a:lnTo>
                              <a:pt x="613562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pStyle w:val="heading3"/>
        <w:tabs>
          <w:tab w:val="center" w:pos="2331"/>
        </w:tabs>
        <w:spacing w:before="0" w:after="209" w:line="259" w:lineRule="auto"/>
        <w:ind w:left="-14" w:firstLine="0"/>
      </w:pPr>
      <w:r>
        <w:rPr>
          <w:sz w:val="28"/>
        </w:rPr>
        <w:t xml:space="preserve">I.</w:t>
      </w:r>
      <w:r>
        <w:rPr>
          <w:rFonts w:cs="Arial" w:hAnsi="Arial" w:eastAsia="Arial" w:ascii="Arial"/>
          <w:sz w:val="28"/>
        </w:rPr>
        <w:t xml:space="preserve"> 	</w:t>
      </w:r>
      <w:r>
        <w:rPr>
          <w:sz w:val="28"/>
        </w:rPr>
        <w:t xml:space="preserve">M</w:t>
      </w:r>
      <w:r>
        <w:rPr/>
        <w:t xml:space="preserve">ANAGEMENT </w:t>
      </w:r>
      <w:r>
        <w:rPr>
          <w:sz w:val="28"/>
        </w:rPr>
        <w:t xml:space="preserve">A</w:t>
      </w:r>
      <w:r>
        <w:rPr/>
        <w:t xml:space="preserve">RRANGEMENTS</w:t>
      </w:r>
      <w:r>
        <w:rPr>
          <w:sz w:val="28"/>
        </w:rPr>
        <w:t xml:space="preserve"> </w:t>
      </w:r>
    </w:p>
    <w:p>
      <w:pPr>
        <w:pStyle w:val="normal"/>
        <w:spacing w:before="0" w:after="55" w:line="228" w:lineRule="auto"/>
        <w:ind w:left="-4" w:right="48"/>
      </w:pPr>
      <w:r>
        <w:rPr/>
        <w:t xml:space="preserve">The project will be implemented through national implementation (NIM) by the Ministry of Environment, Mining and Spatial Planning as Implementing Partner. The Ministry (Implementing Partner) will delegate one of its officials to act as a Project Board Executive. The Ministry will authorize through exchange of letters the Center for Development of Pcinjski and Jablanicki districts in Leskovac (CRJPR/RDA Leskovac) to act as a responsible party (i.e. will manage the use of goods and services to carry out project activities and produce outputs) and will be directly accountable to the Implementing Partner.  As per UNDP Rules and Regulations, a Letter of Agreement has been prepared to be signed between the Ministry and UNDP whereby the recruitment of the Project Coordinator will be performed by UNDP. </w:t>
      </w:r>
    </w:p>
    <w:p>
      <w:pPr>
        <w:spacing w:before="0" w:after="282" w:line="259" w:lineRule="auto"/>
        <w:ind w:left="346" w:right="0" w:firstLine="0"/>
        <w:jc w:val="left"/>
      </w:pPr>
      <w:r>
        <w:drawing>
          <wp:inline distT="0" distB="0" distL="0" distR="0">
            <wp:extent cx="5160264" cy="2484120"/>
            <wp:effectExtent l="0" t="0" r="0" b="0"/>
            <wp:docPr id="79037" name="Picture 79037"/>
            <wp:cNvGraphicFramePr/>
            <a:graphic>
              <a:graphicData uri="http://schemas.openxmlformats.org/drawingml/2006/picture">
                <pic:pic xmlns:pic="http://schemas.openxmlformats.org/drawingml/2006/picture">
                  <pic:nvPicPr>
                    <pic:cNvPr id="79037" name="Picture 79037"/>
                    <pic:cNvPicPr/>
                  </pic:nvPicPr>
                  <pic:blipFill>
                    <a:blip r:embed="rId18"/>
                    <a:stretch>
                      <a:fillRect/>
                    </a:stretch>
                  </pic:blipFill>
                  <pic:spPr>
                    <a:xfrm>
                      <a:off x="0" y="0"/>
                      <a:ext cx="5160264" cy="2484120"/>
                    </a:xfrm>
                    <a:prstGeom prst="rect">
                      <a:avLst/>
                    </a:prstGeom>
                  </pic:spPr>
                </pic:pic>
              </a:graphicData>
            </a:graphic>
          </wp:inline>
        </w:drawing>
      </w:r>
    </w:p>
    <w:p>
      <w:pPr>
        <w:spacing w:before="0" w:after="0" w:line="259" w:lineRule="auto"/>
        <w:ind w:left="0" w:right="257" w:firstLine="0"/>
        <w:jc w:val="right"/>
      </w:pPr>
      <w:r>
        <w:rPr/>
        <w:t xml:space="preserve"> </w:t>
      </w:r>
    </w:p>
    <w:p>
      <w:pPr>
        <w:spacing w:before="0" w:after="0" w:line="259" w:lineRule="auto"/>
        <w:ind w:left="0" w:right="0" w:firstLine="0"/>
        <w:jc w:val="left"/>
      </w:pPr>
      <w:r>
        <w:rPr>
          <w:rFonts w:cs="Calibri" w:hAnsi="Calibri" w:eastAsia="Calibri" w:ascii="Calibri"/>
          <w:i w:val="1"/>
        </w:rPr>
        <w:t xml:space="preserve"> </w:t>
      </w:r>
      <w:r>
        <w:br w:type="page"/>
      </w:r>
    </w:p>
    <w:p>
      <w:pPr>
        <w:spacing w:before="0" w:after="0" w:line="259" w:lineRule="auto"/>
        <w:ind w:left="0" w:right="0" w:firstLine="0"/>
        <w:jc w:val="left"/>
      </w:pPr>
      <w:r>
        <w:rPr>
          <w:rFonts w:cs="Calibri" w:hAnsi="Calibri" w:eastAsia="Calibri" w:ascii="Calibri"/>
          <w:i w:val="1"/>
        </w:rPr>
        <w:t xml:space="preserve"> </w:t>
      </w:r>
    </w:p>
    <w:p>
      <w:pPr>
        <w:spacing w:before="0" w:after="103" w:line="259" w:lineRule="auto"/>
        <w:ind w:left="-30" w:right="0" w:firstLine="0"/>
        <w:jc w:val="left"/>
      </w:pPr>
      <w:r>
        <w:rPr>
          <w:rFonts w:cs="Calibri" w:hAnsi="Calibri" w:eastAsia="Calibri" w:ascii="Calibri"/>
          <w:sz w:val="22"/>
        </w:rPr>
        <w:drawing>
          <wp:inline distT="0" distB="0" distL="0" distR="0">
            <wp:extent cx="6135624" cy="6096"/>
            <wp:docPr id="67804" name="Group 67804"/>
            <wp:cNvGraphicFramePr/>
            <a:graphic>
              <a:graphicData uri="http://schemas.microsoft.com/office/word/2010/wordprocessingGroup">
                <wpg:wgp>
                  <wpg:cNvGrpSpPr/>
                  <wpg:grpSpPr>
                    <a:xfrm>
                      <a:off x="0" y="0"/>
                      <a:ext cx="6135624" cy="6096"/>
                      <a:chOff x="0" y="0"/>
                      <a:chExt cx="6135624" cy="6096"/>
                    </a:xfrm>
                  </wpg:grpSpPr>
                  <wps:wsp>
                    <wps:cNvPr id="81167" name="Shape 81167"/>
                    <wps:cNvSpPr/>
                    <wps:spPr>
                      <a:xfrm>
                        <a:off x="0" y="0"/>
                        <a:ext cx="6135624" cy="9144"/>
                      </a:xfrm>
                      <a:custGeom>
                        <a:pathLst>
                          <a:path w="6135624" h="9144">
                            <a:moveTo>
                              <a:pt x="0" y="0"/>
                            </a:moveTo>
                            <a:lnTo>
                              <a:pt x="6135624" y="0"/>
                            </a:lnTo>
                            <a:lnTo>
                              <a:pt x="613562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pStyle w:val="heading3"/>
        <w:tabs>
          <w:tab w:val="center" w:pos="3026"/>
        </w:tabs>
        <w:spacing w:before="0" w:after="211" w:line="259" w:lineRule="auto"/>
        <w:ind w:left="-14" w:firstLine="0"/>
      </w:pPr>
      <w:r>
        <w:rPr>
          <w:sz w:val="28"/>
        </w:rPr>
        <w:t xml:space="preserve">II.</w:t>
      </w:r>
      <w:r>
        <w:rPr>
          <w:rFonts w:cs="Arial" w:hAnsi="Arial" w:eastAsia="Arial" w:ascii="Arial"/>
          <w:sz w:val="28"/>
        </w:rPr>
        <w:t xml:space="preserve"> 	</w:t>
      </w:r>
      <w:r>
        <w:rPr>
          <w:sz w:val="28"/>
        </w:rPr>
        <w:t xml:space="preserve">M</w:t>
      </w:r>
      <w:r>
        <w:rPr/>
        <w:t xml:space="preserve">ONITORING </w:t>
      </w:r>
      <w:r>
        <w:rPr>
          <w:sz w:val="28"/>
        </w:rPr>
        <w:t xml:space="preserve">F</w:t>
      </w:r>
      <w:r>
        <w:rPr/>
        <w:t xml:space="preserve">RAMEWORK </w:t>
      </w:r>
      <w:r>
        <w:rPr>
          <w:sz w:val="28"/>
        </w:rPr>
        <w:t xml:space="preserve">A</w:t>
      </w:r>
      <w:r>
        <w:rPr/>
        <w:t xml:space="preserve">ND </w:t>
      </w:r>
      <w:r>
        <w:rPr>
          <w:sz w:val="28"/>
        </w:rPr>
        <w:t xml:space="preserve">E</w:t>
      </w:r>
      <w:r>
        <w:rPr/>
        <w:t xml:space="preserve">VALUATION</w:t>
      </w:r>
      <w:r>
        <w:rPr>
          <w:sz w:val="28"/>
        </w:rPr>
        <w:t xml:space="preserve"> </w:t>
      </w:r>
    </w:p>
    <w:p>
      <w:pPr>
        <w:pStyle w:val="normal"/>
        <w:spacing w:before="0" w:after="55" w:line="228" w:lineRule="auto"/>
        <w:ind w:left="-4" w:right="48"/>
      </w:pPr>
      <w:r>
        <w:rPr/>
        <w:t xml:space="preserve">In accordance with the programming policies and procedures outlined in the UNDP's Programme, Operations Policies and Procedures (POPP), the project will be monitored through the following: </w:t>
      </w:r>
    </w:p>
    <w:p>
      <w:pPr>
        <w:spacing w:before="0" w:after="19" w:line="259" w:lineRule="auto"/>
        <w:ind w:left="0" w:right="0" w:firstLine="0"/>
        <w:jc w:val="left"/>
      </w:pPr>
      <w:r>
        <w:rPr/>
        <w:t xml:space="preserve"> </w:t>
      </w:r>
    </w:p>
    <w:p>
      <w:pPr>
        <w:pStyle w:val="heading3"/>
        <w:spacing w:before="0" w:after="109" w:line="259" w:lineRule="auto"/>
        <w:ind w:left="-5"/>
      </w:pPr>
      <w:r>
        <w:rPr>
          <w:rFonts w:cs="Calibri" w:hAnsi="Calibri" w:eastAsia="Calibri" w:ascii="Calibri"/>
          <w:b w:val="0"/>
          <w:u w:val="single" w:color="000000"/>
        </w:rPr>
        <w:t xml:space="preserve">Within the annual cycle</w:t>
      </w:r>
      <w:r>
        <w:rPr>
          <w:rFonts w:cs="Calibri" w:hAnsi="Calibri" w:eastAsia="Calibri" w:ascii="Calibri"/>
          <w:b w:val="0"/>
        </w:rPr>
        <w:t xml:space="preserve"> </w:t>
      </w:r>
      <w:r>
        <w:rPr>
          <w:rFonts w:cs="Calibri" w:hAnsi="Calibri" w:eastAsia="Calibri" w:ascii="Calibri"/>
          <w:b w:val="0"/>
        </w:rPr>
        <w:t xml:space="preserve"> </w:t>
      </w:r>
    </w:p>
    <w:p>
      <w:pPr>
        <w:pStyle w:val="normal"/>
        <w:numPr>
          <w:ilvl w:val="0"/>
          <w:numId w:val="7"/>
        </w:numPr>
        <w:spacing w:before="0" w:after="205" w:line="228" w:lineRule="auto"/>
        <w:ind w:left="360" w:right="48" w:hanging="360"/>
      </w:pPr>
      <w:r>
        <w:rPr/>
        <w:t xml:space="preserve">On a quarterly basis, the Project Coordinator will record progress towards the completion of key results, including the quality assessment </w:t>
      </w:r>
    </w:p>
    <w:p>
      <w:pPr>
        <w:pStyle w:val="normal"/>
        <w:numPr>
          <w:ilvl w:val="0"/>
          <w:numId w:val="7"/>
        </w:numPr>
        <w:spacing w:before="0" w:after="200" w:line="228" w:lineRule="auto"/>
        <w:ind w:left="360" w:right="48" w:hanging="360"/>
      </w:pPr>
      <w:r>
        <w:rPr/>
        <w:t xml:space="preserve">An Issue Log shall be activated in Atlas or in Word document (if Atlas is not available) and updated by the Project Coordinator to facilitate tracking and resolution of potential problems or requests for change.  </w:t>
      </w:r>
      <w:r>
        <w:rPr>
          <w:rFonts w:cs="Segoe UI Symbol" w:hAnsi="Segoe UI Symbol" w:eastAsia="Segoe UI Symbol" w:ascii="Segoe UI Symbol"/>
        </w:rPr>
        <w:t xml:space="preserve">•</w:t>
      </w:r>
      <w:r>
        <w:rPr>
          <w:rFonts w:cs="Arial" w:hAnsi="Arial" w:eastAsia="Arial" w:ascii="Arial"/>
        </w:rPr>
        <w:t xml:space="preserve"> </w:t>
      </w:r>
      <w:r>
        <w:rPr/>
        <w:t xml:space="preserve">Based on the initial risk analysis submitted (see annex 1), a risk log shall be activated in Atlas or in Word document (if Atlas is not available) by Project Coordinator and regularly updated by reviewing the external environment that may affect the project implementation. </w:t>
      </w:r>
    </w:p>
    <w:p>
      <w:pPr>
        <w:pStyle w:val="normal"/>
        <w:numPr>
          <w:ilvl w:val="0"/>
          <w:numId w:val="7"/>
        </w:numPr>
        <w:spacing w:before="0" w:after="205" w:line="228" w:lineRule="auto"/>
        <w:ind w:left="360" w:right="48" w:hanging="360"/>
      </w:pPr>
      <w:r>
        <w:rPr/>
        <w:t xml:space="preserve">Based on the above information recorded in or outside Atlas, a Project Progress Reports (PPR) shall be submitted by the Project Coordinator to the Project Board through Project Assurance, using the standard report format (to be provided to Project Coordinator by UNDP). </w:t>
      </w:r>
    </w:p>
    <w:p>
      <w:pPr>
        <w:numPr>
          <w:ilvl w:val="0"/>
          <w:numId w:val="7"/>
        </w:numPr>
        <w:spacing w:before="0" w:after="204" w:line="228" w:lineRule="auto"/>
        <w:ind w:left="360" w:right="48" w:hanging="360"/>
      </w:pPr>
      <w:r>
        <w:rPr/>
        <w:t xml:space="preserve">a project Lesson-learned log shall be activated and regularly updated by Project Coordinator to ensure on-going learning and adaptation within the organization, and to facilitate the preparation of the Lessons-learned Report at the end of the project </w:t>
      </w:r>
    </w:p>
    <w:p>
      <w:pPr>
        <w:pStyle w:val="normal"/>
        <w:numPr>
          <w:ilvl w:val="0"/>
          <w:numId w:val="7"/>
        </w:numPr>
        <w:spacing w:before="0" w:after="277" w:line="228" w:lineRule="auto"/>
        <w:ind w:left="360" w:right="48" w:hanging="360"/>
      </w:pPr>
      <w:r>
        <w:rPr/>
        <w:t xml:space="preserve">a Monitoring Schedule Plan shall be activated in or outside Atlas and updated by Project Coordinator to track key management actions/events </w:t>
      </w:r>
    </w:p>
    <w:p>
      <w:pPr>
        <w:pStyle w:val="heading3"/>
        <w:spacing w:before="0" w:after="329" w:line="259" w:lineRule="auto"/>
        <w:ind w:left="-5"/>
      </w:pPr>
      <w:r>
        <w:rPr>
          <w:rFonts w:cs="Calibri" w:hAnsi="Calibri" w:eastAsia="Calibri" w:ascii="Calibri"/>
          <w:b w:val="0"/>
          <w:u w:val="single" w:color="000000"/>
        </w:rPr>
        <w:t xml:space="preserve">Annually</w:t>
      </w:r>
      <w:r>
        <w:rPr>
          <w:rFonts w:cs="Calibri" w:hAnsi="Calibri" w:eastAsia="Calibri" w:ascii="Calibri"/>
          <w:b w:val="0"/>
        </w:rPr>
        <w:t xml:space="preserve"> </w:t>
      </w:r>
    </w:p>
    <w:p>
      <w:pPr>
        <w:pStyle w:val="normal"/>
        <w:numPr>
          <w:ilvl w:val="0"/>
          <w:numId w:val="8"/>
        </w:numPr>
        <w:spacing w:before="0" w:after="84" w:line="228" w:lineRule="auto"/>
        <w:ind w:left="360" w:right="48" w:hanging="360"/>
      </w:pPr>
      <w:r>
        <w:rPr>
          <w:rFonts w:cs="Calibri" w:hAnsi="Calibri" w:eastAsia="Calibri" w:ascii="Calibri"/>
          <w:b w:val="1"/>
        </w:rPr>
        <w:t xml:space="preserve">Annual Report</w:t>
      </w:r>
      <w:r>
        <w:rPr/>
        <w:t xml:space="preserve"> (narrative and financial) shall be prepared by the Project Coordinator and shared with the Project Board annually in accordance with the approved annual work plan.  </w:t>
      </w:r>
    </w:p>
    <w:p>
      <w:pPr>
        <w:pStyle w:val="normal"/>
        <w:numPr>
          <w:ilvl w:val="0"/>
          <w:numId w:val="8"/>
        </w:numPr>
        <w:spacing w:before="0" w:after="85" w:line="228" w:lineRule="auto"/>
        <w:ind w:left="360" w:right="48" w:hanging="360"/>
      </w:pPr>
      <w:r>
        <w:rPr>
          <w:rFonts w:cs="Calibri" w:hAnsi="Calibri" w:eastAsia="Calibri" w:ascii="Calibri"/>
          <w:b w:val="1"/>
        </w:rPr>
        <w:t xml:space="preserve">Final Project Report </w:t>
      </w:r>
      <w:r>
        <w:rPr/>
        <w:t xml:space="preserve">(narrative and financial)</w:t>
      </w:r>
      <w:r>
        <w:rPr>
          <w:rFonts w:cs="Calibri" w:hAnsi="Calibri" w:eastAsia="Calibri" w:ascii="Calibri"/>
          <w:b w:val="1"/>
        </w:rPr>
        <w:t xml:space="preserve"> </w:t>
      </w:r>
      <w:r>
        <w:rPr/>
        <w:t xml:space="preserve">shall be prepared by the Project Coordinator and shared with the Project Board at the end of the project.  </w:t>
      </w:r>
    </w:p>
    <w:p>
      <w:pPr>
        <w:pStyle w:val="normal"/>
        <w:numPr>
          <w:ilvl w:val="0"/>
          <w:numId w:val="8"/>
        </w:numPr>
        <w:spacing w:before="0" w:after="55" w:line="228" w:lineRule="auto"/>
        <w:ind w:left="360" w:right="48" w:hanging="360"/>
      </w:pPr>
      <w:r>
        <w:rPr>
          <w:rFonts w:cs="Calibri" w:hAnsi="Calibri" w:eastAsia="Calibri" w:ascii="Calibri"/>
          <w:b w:val="1"/>
        </w:rPr>
        <w:t xml:space="preserve">Financial Audit</w:t>
      </w:r>
      <w:r>
        <w:rPr/>
        <w:t xml:space="preserve"> for National Implementation projects will apply.</w:t>
      </w:r>
    </w:p>
    <w:p>
      <w:pPr>
        <w:sectPr>
          <w:footerReference w:type="even" r:id="rId6"/>
          <w:footerReference w:type="default" r:id="rId5"/>
          <w:footerReference w:type="first" r:id="rId4"/>
          <w:footnotePr>
            <w:numRestart w:val="eachPage"/>
          </w:footnotePr>
          <w:pgSz w:w="11900" w:h="16840" w:orient="portrait"/>
          <w:pgMar w:left="1152" w:top="706" w:right="1085" w:bottom="496"/>
          <w:pgNumType w:fmt="decimal"/>
          <w:cols/>
          <w:titlePg/>
        </w:sectPr>
      </w:pPr>
    </w:p>
    <w:p>
      <w:pPr>
        <w:spacing w:before="0" w:after="40" w:line="259" w:lineRule="auto"/>
        <w:ind w:left="0" w:right="0" w:firstLine="0"/>
        <w:jc w:val="left"/>
      </w:pPr>
      <w:r>
        <w:rPr>
          <w:rFonts w:cs="Arial" w:hAnsi="Arial" w:eastAsia="Arial" w:ascii="Arial"/>
          <w:b w:val="1"/>
        </w:rPr>
        <w:t xml:space="preserve"> </w:t>
      </w:r>
    </w:p>
    <w:p>
      <w:pPr>
        <w:spacing w:before="0" w:after="0" w:line="259" w:lineRule="auto"/>
        <w:ind w:left="0" w:right="0" w:firstLine="0"/>
        <w:jc w:val="left"/>
      </w:pPr>
      <w:r>
        <w:rPr>
          <w:rFonts w:cs="Arial" w:hAnsi="Arial" w:eastAsia="Arial" w:ascii="Arial"/>
          <w:b w:val="1"/>
        </w:rPr>
        <w:t xml:space="preserve"> </w:t>
      </w:r>
    </w:p>
    <w:p>
      <w:pPr>
        <w:spacing w:before="0" w:after="127" w:line="259" w:lineRule="auto"/>
        <w:ind w:left="-30" w:right="0" w:firstLine="0"/>
        <w:jc w:val="left"/>
      </w:pPr>
      <w:r>
        <w:rPr>
          <w:rFonts w:cs="Calibri" w:hAnsi="Calibri" w:eastAsia="Calibri" w:ascii="Calibri"/>
          <w:sz w:val="22"/>
        </w:rPr>
        <w:drawing>
          <wp:inline distT="0" distB="0" distL="0" distR="0">
            <wp:extent cx="9633204" cy="6097"/>
            <wp:docPr id="69271" name="Group 69271"/>
            <wp:cNvGraphicFramePr/>
            <a:graphic>
              <a:graphicData uri="http://schemas.microsoft.com/office/word/2010/wordprocessingGroup">
                <wpg:wgp>
                  <wpg:cNvGrpSpPr/>
                  <wpg:grpSpPr>
                    <a:xfrm>
                      <a:off x="0" y="0"/>
                      <a:ext cx="9633204" cy="6097"/>
                      <a:chOff x="0" y="0"/>
                      <a:chExt cx="9633204" cy="6097"/>
                    </a:xfrm>
                  </wpg:grpSpPr>
                  <wps:wsp>
                    <wps:cNvPr id="81168" name="Shape 81168"/>
                    <wps:cNvSpPr/>
                    <wps:spPr>
                      <a:xfrm>
                        <a:off x="0" y="0"/>
                        <a:ext cx="9633204" cy="9145"/>
                      </a:xfrm>
                      <a:custGeom>
                        <a:pathLst>
                          <a:path w="9633204" h="9145">
                            <a:moveTo>
                              <a:pt x="0" y="0"/>
                            </a:moveTo>
                            <a:lnTo>
                              <a:pt x="9633204" y="0"/>
                            </a:lnTo>
                            <a:lnTo>
                              <a:pt x="9633204" y="9145"/>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numPr>
          <w:ilvl w:val="0"/>
          <w:numId w:val="9"/>
        </w:numPr>
        <w:spacing w:before="0" w:after="0" w:line="259" w:lineRule="auto"/>
        <w:ind w:left="720" w:right="0" w:hanging="720"/>
        <w:jc w:val="left"/>
      </w:pPr>
      <w:r>
        <w:rPr>
          <w:rFonts w:cs="Century Gothic" w:hAnsi="Century Gothic" w:eastAsia="Century Gothic" w:ascii="Century Gothic"/>
          <w:b w:val="1"/>
          <w:sz w:val="28"/>
        </w:rPr>
        <w:t xml:space="preserve">R</w:t>
      </w:r>
      <w:r>
        <w:rPr>
          <w:rFonts w:cs="Century Gothic" w:hAnsi="Century Gothic" w:eastAsia="Century Gothic" w:ascii="Century Gothic"/>
          <w:b w:val="1"/>
        </w:rPr>
        <w:t xml:space="preserve">ESULTS AND </w:t>
      </w:r>
      <w:r>
        <w:rPr>
          <w:rFonts w:cs="Century Gothic" w:hAnsi="Century Gothic" w:eastAsia="Century Gothic" w:ascii="Century Gothic"/>
          <w:b w:val="1"/>
          <w:sz w:val="28"/>
        </w:rPr>
        <w:t xml:space="preserve">R</w:t>
      </w:r>
      <w:r>
        <w:rPr>
          <w:rFonts w:cs="Century Gothic" w:hAnsi="Century Gothic" w:eastAsia="Century Gothic" w:ascii="Century Gothic"/>
          <w:b w:val="1"/>
        </w:rPr>
        <w:t xml:space="preserve">ESOURCES </w:t>
      </w:r>
      <w:r>
        <w:rPr>
          <w:rFonts w:cs="Century Gothic" w:hAnsi="Century Gothic" w:eastAsia="Century Gothic" w:ascii="Century Gothic"/>
          <w:b w:val="1"/>
          <w:sz w:val="28"/>
        </w:rPr>
        <w:t xml:space="preserve">F</w:t>
      </w:r>
      <w:r>
        <w:rPr>
          <w:rFonts w:cs="Century Gothic" w:hAnsi="Century Gothic" w:eastAsia="Century Gothic" w:ascii="Century Gothic"/>
          <w:b w:val="1"/>
        </w:rPr>
        <w:t xml:space="preserve">RAMEWORK</w:t>
      </w:r>
      <w:r>
        <w:rPr>
          <w:rFonts w:cs="Century Gothic" w:hAnsi="Century Gothic" w:eastAsia="Century Gothic" w:ascii="Century Gothic"/>
          <w:b w:val="1"/>
          <w:sz w:val="28"/>
        </w:rPr>
        <w:t xml:space="preserve"> </w:t>
      </w:r>
    </w:p>
    <w:tbl>
      <w:tblPr>
        <w:tblStyle w:val="TableGrid"/>
        <w:tblW w:w="14315" w:type="dxa"/>
        <w:tblInd w:w="1" w:type="dxa"/>
        <w:tblCellMar>
          <w:top w:w="0" w:type="dxa"/>
          <w:left w:w="107" w:type="dxa"/>
          <w:bottom w:w="0" w:type="dxa"/>
          <w:right w:w="54" w:type="dxa"/>
        </w:tblCellMar>
      </w:tblPr>
      <w:tblGrid>
        <w:gridCol w:w="3419"/>
        <w:gridCol w:w="5724"/>
        <w:gridCol w:w="2340"/>
        <w:gridCol w:w="2832"/>
      </w:tblGrid>
      <w:tr>
        <w:trPr>
          <w:trHeight w:val="647" w:hRule="atLeast"/>
        </w:trPr>
        <w:tc>
          <w:tcPr>
            <w:tcW w:w="3419" w:type="dxa"/>
            <w:tcBorders>
              <w:top w:val="single" w:sz="4" w:color="000000"/>
              <w:left w:val="single" w:sz="4" w:color="000000"/>
              <w:bottom w:val="single" w:sz="4" w:color="000000"/>
              <w:right w:val="single" w:sz="4" w:color="000000"/>
            </w:tcBorders>
            <w:shd w:val="clear" w:fill="ffff9a"/>
            <w:vAlign w:val="top"/>
          </w:tcPr>
          <w:p>
            <w:pPr>
              <w:spacing w:before="0" w:after="42" w:line="259" w:lineRule="auto"/>
              <w:ind w:left="0" w:right="52" w:firstLine="0"/>
              <w:jc w:val="center"/>
            </w:pPr>
            <w:r>
              <w:rPr>
                <w:rFonts w:cs="Arial" w:hAnsi="Arial" w:eastAsia="Arial" w:ascii="Arial"/>
                <w:b w:val="1"/>
                <w:sz w:val="20"/>
              </w:rPr>
              <w:t xml:space="preserve">INTENDED OUTPUTS </w:t>
            </w:r>
          </w:p>
          <w:p>
            <w:pPr>
              <w:spacing w:before="0" w:after="0" w:line="259" w:lineRule="auto"/>
              <w:ind w:left="2" w:right="0" w:firstLine="0"/>
              <w:jc w:val="center"/>
            </w:pPr>
            <w:r>
              <w:rPr>
                <w:rFonts w:cs="Arial" w:hAnsi="Arial" w:eastAsia="Arial" w:ascii="Arial"/>
                <w:b w:val="1"/>
                <w:sz w:val="20"/>
              </w:rPr>
              <w:t xml:space="preserve"> </w:t>
            </w:r>
          </w:p>
        </w:tc>
        <w:tc>
          <w:tcPr>
            <w:tcW w:w="5724" w:type="dxa"/>
            <w:tcBorders>
              <w:top w:val="single" w:sz="4" w:color="000000"/>
              <w:left w:val="single" w:sz="4" w:color="000000"/>
              <w:bottom w:val="single" w:sz="4" w:color="000000"/>
              <w:right w:val="single" w:sz="4" w:color="000000"/>
            </w:tcBorders>
            <w:shd w:val="clear" w:fill="ffff9a"/>
            <w:vAlign w:val="center"/>
          </w:tcPr>
          <w:p>
            <w:pPr>
              <w:spacing w:before="0" w:after="0" w:line="259" w:lineRule="auto"/>
              <w:ind w:left="0" w:right="53" w:firstLine="0"/>
              <w:jc w:val="center"/>
            </w:pPr>
            <w:r>
              <w:rPr>
                <w:rFonts w:cs="Arial" w:hAnsi="Arial" w:eastAsia="Arial" w:ascii="Arial"/>
                <w:b w:val="1"/>
                <w:sz w:val="20"/>
              </w:rPr>
              <w:t xml:space="preserve">INDICATIVE ACTIVITIES </w:t>
            </w:r>
          </w:p>
        </w:tc>
        <w:tc>
          <w:tcPr>
            <w:tcW w:w="2340" w:type="dxa"/>
            <w:tcBorders>
              <w:top w:val="single" w:sz="4" w:color="000000"/>
              <w:left w:val="single" w:sz="4" w:color="000000"/>
              <w:bottom w:val="single" w:sz="4" w:color="000000"/>
              <w:right w:val="single" w:sz="4" w:color="000000"/>
            </w:tcBorders>
            <w:shd w:val="clear" w:fill="ffff9a"/>
            <w:vAlign w:val="top"/>
          </w:tcPr>
          <w:p>
            <w:pPr>
              <w:spacing w:before="0" w:after="0" w:line="259" w:lineRule="auto"/>
              <w:ind w:left="0" w:right="0" w:firstLine="0"/>
              <w:jc w:val="center"/>
            </w:pPr>
            <w:r>
              <w:rPr>
                <w:rFonts w:cs="Arial" w:hAnsi="Arial" w:eastAsia="Arial" w:ascii="Arial"/>
                <w:b w:val="1"/>
                <w:sz w:val="20"/>
              </w:rPr>
              <w:t xml:space="preserve">RESPONSIBLE PARTIES </w:t>
            </w:r>
          </w:p>
        </w:tc>
        <w:tc>
          <w:tcPr>
            <w:tcW w:w="2832" w:type="dxa"/>
            <w:tcBorders>
              <w:top w:val="single" w:sz="4" w:color="000000"/>
              <w:left w:val="single" w:sz="4" w:color="000000"/>
              <w:bottom w:val="single" w:sz="4" w:color="000000"/>
              <w:right w:val="single" w:sz="4" w:color="000000"/>
            </w:tcBorders>
            <w:shd w:val="clear" w:fill="ffff9a"/>
            <w:vAlign w:val="center"/>
          </w:tcPr>
          <w:p>
            <w:pPr>
              <w:spacing w:before="0" w:after="0" w:line="259" w:lineRule="auto"/>
              <w:ind w:left="0" w:right="19" w:firstLine="0"/>
              <w:jc w:val="center"/>
            </w:pPr>
            <w:r>
              <w:rPr>
                <w:rFonts w:cs="Arial" w:hAnsi="Arial" w:eastAsia="Arial" w:ascii="Arial"/>
                <w:b w:val="1"/>
                <w:sz w:val="20"/>
              </w:rPr>
              <w:t xml:space="preserve">INPUTS </w:t>
            </w:r>
          </w:p>
        </w:tc>
      </w:tr>
      <w:tr>
        <w:trPr>
          <w:trHeight w:val="3199" w:hRule="atLeast"/>
        </w:trPr>
        <w:tc>
          <w:tcPr>
            <w:tcW w:w="3419" w:type="dxa"/>
            <w:tcBorders>
              <w:top w:val="single" w:sz="4" w:color="000000"/>
              <w:left w:val="single" w:sz="4" w:color="000000"/>
              <w:bottom w:val="single" w:sz="4" w:color="000000"/>
              <w:right w:val="single" w:sz="4" w:color="000000"/>
            </w:tcBorders>
            <w:vAlign w:val="top"/>
          </w:tcPr>
          <w:p>
            <w:pPr>
              <w:spacing w:before="0" w:after="31" w:line="259" w:lineRule="auto"/>
              <w:ind w:left="0" w:right="0" w:firstLine="0"/>
              <w:jc w:val="left"/>
            </w:pPr>
            <w:r>
              <w:rPr>
                <w:rFonts w:cs="Arial" w:hAnsi="Arial" w:eastAsia="Arial" w:ascii="Arial"/>
                <w:b w:val="1"/>
              </w:rPr>
              <w:t xml:space="preserve">Output 1: </w:t>
            </w:r>
          </w:p>
          <w:p>
            <w:pPr>
              <w:spacing w:before="0" w:after="0" w:line="259" w:lineRule="auto"/>
              <w:ind w:left="0" w:right="0" w:firstLine="0"/>
              <w:jc w:val="left"/>
            </w:pPr>
            <w:r>
              <w:rPr>
                <w:rFonts w:cs="Calibri" w:hAnsi="Calibri" w:eastAsia="Calibri" w:ascii="Calibri"/>
                <w:b w:val="1"/>
              </w:rPr>
              <w:t xml:space="preserve">Vlasina Lake Branding and </w:t>
            </w:r>
          </w:p>
          <w:p>
            <w:pPr>
              <w:spacing w:before="0" w:after="12" w:line="259" w:lineRule="auto"/>
              <w:ind w:left="0" w:right="0" w:firstLine="0"/>
              <w:jc w:val="left"/>
            </w:pPr>
            <w:r>
              <w:rPr>
                <w:rFonts w:cs="Calibri" w:hAnsi="Calibri" w:eastAsia="Calibri" w:ascii="Calibri"/>
                <w:b w:val="1"/>
              </w:rPr>
              <w:t xml:space="preserve">Promotion </w:t>
            </w:r>
          </w:p>
          <w:p>
            <w:pPr>
              <w:spacing w:before="0" w:after="59" w:line="240" w:lineRule="auto"/>
              <w:ind w:left="0" w:right="24" w:firstLine="0"/>
              <w:jc w:val="left"/>
            </w:pPr>
            <w:r>
              <w:rPr>
                <w:rFonts w:cs="Arial" w:hAnsi="Arial" w:eastAsia="Arial" w:ascii="Arial"/>
                <w:i w:val="1"/>
                <w:sz w:val="20"/>
              </w:rPr>
              <w:t xml:space="preserve">Baseline: No visual identity, very low promotional visibility, no dedicated website, only three roadsigns between Vladicin Han (Coridor X) and the very lake </w:t>
            </w:r>
          </w:p>
          <w:p>
            <w:pPr>
              <w:spacing w:before="0" w:after="42" w:line="259" w:lineRule="auto"/>
              <w:ind w:left="0" w:right="0" w:firstLine="0"/>
              <w:jc w:val="left"/>
            </w:pPr>
            <w:r>
              <w:rPr>
                <w:rFonts w:cs="Arial" w:hAnsi="Arial" w:eastAsia="Arial" w:ascii="Arial"/>
                <w:i w:val="1"/>
                <w:sz w:val="20"/>
              </w:rPr>
              <w:t xml:space="preserve">Indicators: yes/no </w:t>
            </w:r>
          </w:p>
          <w:p>
            <w:pPr>
              <w:spacing w:before="0" w:after="0" w:line="259" w:lineRule="auto"/>
              <w:ind w:left="0" w:right="34" w:firstLine="0"/>
              <w:jc w:val="left"/>
            </w:pPr>
            <w:r>
              <w:rPr>
                <w:rFonts w:cs="Arial" w:hAnsi="Arial" w:eastAsia="Arial" w:ascii="Arial"/>
                <w:i w:val="1"/>
                <w:sz w:val="20"/>
              </w:rPr>
              <w:t xml:space="preserve">Targets: Visual identity created, road signs installed, website created and operational.  </w:t>
            </w:r>
          </w:p>
        </w:tc>
        <w:tc>
          <w:tcPr>
            <w:tcW w:w="5724" w:type="dxa"/>
            <w:tcBorders>
              <w:top w:val="single" w:sz="4" w:color="000000"/>
              <w:left w:val="single" w:sz="4" w:color="000000"/>
              <w:bottom w:val="single" w:sz="4" w:color="000000"/>
              <w:right w:val="single" w:sz="4" w:color="000000"/>
            </w:tcBorders>
            <w:vAlign w:val="top"/>
          </w:tcPr>
          <w:p>
            <w:pPr>
              <w:spacing w:before="0" w:after="51" w:line="259" w:lineRule="auto"/>
              <w:ind w:left="1" w:right="0" w:firstLine="0"/>
              <w:jc w:val="left"/>
            </w:pPr>
            <w:r>
              <w:rPr>
                <w:rFonts w:cs="Arial" w:hAnsi="Arial" w:eastAsia="Arial" w:ascii="Arial"/>
                <w:i w:val="1"/>
                <w:sz w:val="20"/>
              </w:rPr>
              <w:t xml:space="preserve"> </w:t>
            </w:r>
          </w:p>
          <w:p>
            <w:pPr>
              <w:spacing w:before="0" w:after="2" w:line="223" w:lineRule="auto"/>
              <w:ind w:left="1" w:right="0" w:firstLine="0"/>
              <w:jc w:val="left"/>
            </w:pPr>
            <w:r>
              <w:rPr>
                <w:rFonts w:cs="Calibri" w:hAnsi="Calibri" w:eastAsia="Calibri" w:ascii="Calibri"/>
                <w:b w:val="1"/>
              </w:rPr>
              <w:t xml:space="preserve">Activity 1: </w:t>
            </w:r>
            <w:r>
              <w:rPr/>
              <w:t xml:space="preserve">Creating Vlasina Lake Visual Identity  - Coca Cola System </w:t>
            </w:r>
          </w:p>
          <w:p>
            <w:pPr>
              <w:spacing w:before="0" w:after="0" w:line="259" w:lineRule="auto"/>
              <w:ind w:left="1" w:right="0" w:firstLine="0"/>
              <w:jc w:val="left"/>
            </w:pPr>
            <w:r>
              <w:rPr>
                <w:rFonts w:cs="Calibri" w:hAnsi="Calibri" w:eastAsia="Calibri" w:ascii="Calibri"/>
                <w:b w:val="1"/>
              </w:rPr>
              <w:t xml:space="preserve"> </w:t>
            </w:r>
          </w:p>
          <w:p>
            <w:pPr>
              <w:spacing w:before="0" w:after="0" w:line="259" w:lineRule="auto"/>
              <w:ind w:left="1" w:right="0" w:firstLine="0"/>
              <w:jc w:val="left"/>
            </w:pPr>
            <w:r>
              <w:rPr>
                <w:rFonts w:cs="Calibri" w:hAnsi="Calibri" w:eastAsia="Calibri" w:ascii="Calibri"/>
                <w:b w:val="1"/>
              </w:rPr>
              <w:t xml:space="preserve">Activity 2: </w:t>
            </w:r>
            <w:r>
              <w:rPr/>
              <w:t xml:space="preserve">Creating Promotional and Educational Materials </w:t>
            </w:r>
          </w:p>
          <w:p>
            <w:pPr>
              <w:spacing w:before="0" w:after="0" w:line="259" w:lineRule="auto"/>
              <w:ind w:left="1" w:right="0" w:firstLine="0"/>
              <w:jc w:val="left"/>
            </w:pPr>
            <w:r>
              <w:rPr>
                <w:rFonts w:cs="Calibri" w:hAnsi="Calibri" w:eastAsia="Calibri" w:ascii="Calibri"/>
                <w:b w:val="1"/>
              </w:rPr>
              <w:t xml:space="preserve"> </w:t>
            </w:r>
          </w:p>
          <w:p>
            <w:pPr>
              <w:spacing w:before="0" w:after="0" w:line="259" w:lineRule="auto"/>
              <w:ind w:left="1" w:right="0" w:firstLine="0"/>
              <w:jc w:val="left"/>
            </w:pPr>
            <w:r>
              <w:rPr>
                <w:rFonts w:cs="Calibri" w:hAnsi="Calibri" w:eastAsia="Calibri" w:ascii="Calibri"/>
                <w:b w:val="1"/>
              </w:rPr>
              <w:t xml:space="preserve">Activity 3: </w:t>
            </w:r>
            <w:r>
              <w:rPr/>
              <w:t xml:space="preserve">Production of the “Visit Vlasina” Website </w:t>
            </w:r>
          </w:p>
          <w:p>
            <w:pPr>
              <w:spacing w:before="0" w:after="0" w:line="259" w:lineRule="auto"/>
              <w:ind w:left="1" w:right="0" w:firstLine="0"/>
              <w:jc w:val="left"/>
            </w:pPr>
            <w:r>
              <w:rPr>
                <w:rFonts w:cs="Calibri" w:hAnsi="Calibri" w:eastAsia="Calibri" w:ascii="Calibri"/>
                <w:b w:val="1"/>
              </w:rPr>
              <w:t xml:space="preserve"> </w:t>
            </w:r>
          </w:p>
          <w:p>
            <w:pPr>
              <w:spacing w:before="0" w:after="0" w:line="223" w:lineRule="auto"/>
              <w:ind w:left="1" w:right="0" w:firstLine="0"/>
            </w:pPr>
            <w:r>
              <w:rPr>
                <w:rFonts w:cs="Calibri" w:hAnsi="Calibri" w:eastAsia="Calibri" w:ascii="Calibri"/>
                <w:b w:val="1"/>
              </w:rPr>
              <w:t xml:space="preserve">Activity 4: </w:t>
            </w:r>
            <w:r>
              <w:rPr/>
              <w:t xml:space="preserve">Construction of the</w:t>
            </w:r>
            <w:r>
              <w:rPr>
                <w:rFonts w:cs="Calibri" w:hAnsi="Calibri" w:eastAsia="Calibri" w:ascii="Calibri"/>
                <w:b w:val="1"/>
              </w:rPr>
              <w:t xml:space="preserve"> </w:t>
            </w:r>
            <w:r>
              <w:rPr/>
              <w:t xml:space="preserve">Road Signs and billboards for Vlasina Lake </w:t>
            </w:r>
          </w:p>
          <w:p>
            <w:pPr>
              <w:spacing w:before="0" w:after="0" w:line="259" w:lineRule="auto"/>
              <w:ind w:left="1" w:right="0" w:firstLine="0"/>
              <w:jc w:val="left"/>
            </w:pPr>
            <w:r>
              <w:rPr>
                <w:rFonts w:cs="Arial" w:hAnsi="Arial" w:eastAsia="Arial" w:ascii="Arial"/>
                <w:sz w:val="20"/>
              </w:rPr>
              <w:t xml:space="preserve"> </w:t>
            </w:r>
          </w:p>
        </w:tc>
        <w:tc>
          <w:tcPr>
            <w:tcW w:w="2340" w:type="dxa"/>
            <w:tcBorders>
              <w:top w:val="single" w:sz="4" w:color="000000"/>
              <w:left w:val="single" w:sz="4" w:color="000000"/>
              <w:bottom w:val="single" w:sz="4" w:color="000000"/>
              <w:right w:val="single" w:sz="4" w:color="000000"/>
            </w:tcBorders>
            <w:vAlign w:val="top"/>
          </w:tcPr>
          <w:p>
            <w:pPr>
              <w:spacing w:before="0" w:after="40" w:line="259" w:lineRule="auto"/>
              <w:ind w:left="1" w:right="0" w:firstLine="0"/>
              <w:jc w:val="left"/>
            </w:pPr>
            <w:r>
              <w:rPr>
                <w:rFonts w:cs="Arial" w:hAnsi="Arial" w:eastAsia="Arial" w:ascii="Arial"/>
                <w:i w:val="1"/>
                <w:sz w:val="20"/>
              </w:rPr>
              <w:t xml:space="preserve"> </w:t>
            </w:r>
          </w:p>
          <w:p>
            <w:pPr>
              <w:spacing w:before="0" w:after="42" w:line="259" w:lineRule="auto"/>
              <w:ind w:left="1" w:right="0" w:firstLine="0"/>
              <w:jc w:val="left"/>
            </w:pPr>
            <w:r>
              <w:rPr>
                <w:rFonts w:cs="Arial" w:hAnsi="Arial" w:eastAsia="Arial" w:ascii="Arial"/>
                <w:i w:val="1"/>
                <w:sz w:val="20"/>
              </w:rPr>
              <w:t xml:space="preserve">UNDP </w:t>
            </w:r>
          </w:p>
          <w:p>
            <w:pPr>
              <w:spacing w:before="0" w:after="0" w:line="259" w:lineRule="auto"/>
              <w:ind w:left="1" w:right="0" w:firstLine="0"/>
              <w:jc w:val="left"/>
            </w:pPr>
            <w:r>
              <w:rPr>
                <w:rFonts w:cs="Arial" w:hAnsi="Arial" w:eastAsia="Arial" w:ascii="Arial"/>
                <w:i w:val="1"/>
                <w:sz w:val="20"/>
              </w:rPr>
              <w:t xml:space="preserve">Centre for Development </w:t>
            </w:r>
          </w:p>
          <w:p>
            <w:pPr>
              <w:spacing w:before="0" w:after="0" w:line="259" w:lineRule="auto"/>
              <w:ind w:left="1" w:right="0" w:firstLine="0"/>
              <w:jc w:val="left"/>
            </w:pPr>
            <w:r>
              <w:rPr>
                <w:rFonts w:cs="Arial" w:hAnsi="Arial" w:eastAsia="Arial" w:ascii="Arial"/>
                <w:i w:val="1"/>
                <w:sz w:val="20"/>
              </w:rPr>
              <w:t xml:space="preserve">of Jablanica and Pcinja </w:t>
            </w:r>
          </w:p>
          <w:p>
            <w:pPr>
              <w:spacing w:before="0" w:after="0" w:line="259" w:lineRule="auto"/>
              <w:ind w:left="1" w:right="31" w:firstLine="0"/>
              <w:jc w:val="left"/>
            </w:pPr>
            <w:r>
              <w:rPr>
                <w:rFonts w:cs="Arial" w:hAnsi="Arial" w:eastAsia="Arial" w:ascii="Arial"/>
                <w:i w:val="1"/>
                <w:sz w:val="20"/>
              </w:rPr>
              <w:t xml:space="preserve">Region (RDA Leskovac)  </w:t>
            </w:r>
          </w:p>
        </w:tc>
        <w:tc>
          <w:tcPr>
            <w:tcW w:w="2832" w:type="dxa"/>
            <w:tcBorders>
              <w:top w:val="single" w:sz="4" w:color="000000"/>
              <w:left w:val="single" w:sz="4" w:color="000000"/>
              <w:bottom w:val="single" w:sz="4" w:color="000000"/>
              <w:right w:val="single" w:sz="4" w:color="000000"/>
            </w:tcBorders>
            <w:vAlign w:val="top"/>
          </w:tcPr>
          <w:p>
            <w:pPr>
              <w:spacing w:before="0" w:after="39" w:line="259" w:lineRule="auto"/>
              <w:ind w:left="1" w:right="0" w:firstLine="0"/>
              <w:jc w:val="left"/>
            </w:pPr>
            <w:r>
              <w:rPr>
                <w:rFonts w:cs="Arial" w:hAnsi="Arial" w:eastAsia="Arial" w:ascii="Arial"/>
                <w:i w:val="1"/>
                <w:sz w:val="20"/>
              </w:rPr>
              <w:t xml:space="preserve"> </w:t>
            </w:r>
          </w:p>
          <w:p>
            <w:pPr>
              <w:spacing w:before="0" w:after="0" w:line="259" w:lineRule="auto"/>
              <w:ind w:left="1" w:right="0" w:firstLine="0"/>
              <w:jc w:val="left"/>
            </w:pPr>
            <w:r>
              <w:rPr>
                <w:rFonts w:cs="Arial" w:hAnsi="Arial" w:eastAsia="Arial" w:ascii="Arial"/>
                <w:sz w:val="20"/>
              </w:rPr>
              <w:t xml:space="preserve">Activity 1: in kind  </w:t>
            </w:r>
          </w:p>
          <w:p>
            <w:pPr>
              <w:spacing w:before="0" w:after="0" w:line="259" w:lineRule="auto"/>
              <w:ind w:left="1" w:right="0" w:firstLine="0"/>
              <w:jc w:val="left"/>
            </w:pPr>
            <w:r>
              <w:rPr>
                <w:rFonts w:cs="Arial" w:hAnsi="Arial" w:eastAsia="Arial" w:ascii="Arial"/>
                <w:sz w:val="20"/>
              </w:rPr>
              <w:t xml:space="preserve"> </w:t>
            </w:r>
          </w:p>
          <w:p>
            <w:pPr>
              <w:spacing w:before="0" w:after="0" w:line="259" w:lineRule="auto"/>
              <w:ind w:left="1" w:right="0" w:firstLine="0"/>
              <w:jc w:val="left"/>
            </w:pPr>
            <w:r>
              <w:rPr>
                <w:rFonts w:cs="Arial" w:hAnsi="Arial" w:eastAsia="Arial" w:ascii="Arial"/>
                <w:sz w:val="20"/>
              </w:rPr>
              <w:t xml:space="preserve">Activity 2: 14,186 USD </w:t>
            </w:r>
          </w:p>
          <w:p>
            <w:pPr>
              <w:spacing w:before="0" w:after="0" w:line="259" w:lineRule="auto"/>
              <w:ind w:left="1" w:right="0" w:firstLine="0"/>
              <w:jc w:val="left"/>
            </w:pPr>
            <w:r>
              <w:rPr>
                <w:rFonts w:cs="Arial" w:hAnsi="Arial" w:eastAsia="Arial" w:ascii="Arial"/>
                <w:sz w:val="20"/>
              </w:rPr>
              <w:t xml:space="preserve"> </w:t>
            </w:r>
          </w:p>
          <w:p>
            <w:pPr>
              <w:spacing w:before="0" w:after="0" w:line="259" w:lineRule="auto"/>
              <w:ind w:left="1" w:right="0" w:firstLine="0"/>
              <w:jc w:val="left"/>
            </w:pPr>
            <w:r>
              <w:rPr>
                <w:rFonts w:cs="Arial" w:hAnsi="Arial" w:eastAsia="Arial" w:ascii="Arial"/>
                <w:sz w:val="20"/>
              </w:rPr>
              <w:t xml:space="preserve">Activity 3: 20,307 USD </w:t>
            </w:r>
          </w:p>
          <w:p>
            <w:pPr>
              <w:spacing w:before="0" w:after="0" w:line="259" w:lineRule="auto"/>
              <w:ind w:left="1" w:right="0" w:firstLine="0"/>
              <w:jc w:val="left"/>
            </w:pPr>
            <w:r>
              <w:rPr>
                <w:rFonts w:cs="Arial" w:hAnsi="Arial" w:eastAsia="Arial" w:ascii="Arial"/>
                <w:sz w:val="20"/>
              </w:rPr>
              <w:t xml:space="preserve"> </w:t>
            </w:r>
          </w:p>
          <w:p>
            <w:pPr>
              <w:spacing w:before="0" w:after="0" w:line="259" w:lineRule="auto"/>
              <w:ind w:left="1" w:right="0" w:firstLine="0"/>
              <w:jc w:val="left"/>
            </w:pPr>
            <w:r>
              <w:rPr>
                <w:rFonts w:cs="Arial" w:hAnsi="Arial" w:eastAsia="Arial" w:ascii="Arial"/>
                <w:sz w:val="20"/>
              </w:rPr>
              <w:t xml:space="preserve">Activity 4: 20,307 USD </w:t>
            </w:r>
          </w:p>
          <w:p>
            <w:pPr>
              <w:spacing w:before="0" w:after="0" w:line="259" w:lineRule="auto"/>
              <w:ind w:left="1" w:right="0" w:firstLine="0"/>
              <w:jc w:val="left"/>
            </w:pPr>
            <w:r>
              <w:rPr>
                <w:rFonts w:cs="Arial" w:hAnsi="Arial" w:eastAsia="Arial" w:ascii="Arial"/>
                <w:sz w:val="20"/>
              </w:rPr>
              <w:t xml:space="preserve"> </w:t>
            </w:r>
          </w:p>
          <w:p>
            <w:pPr>
              <w:spacing w:before="0" w:after="0" w:line="259" w:lineRule="auto"/>
              <w:ind w:left="1" w:right="0" w:firstLine="0"/>
              <w:jc w:val="left"/>
            </w:pPr>
            <w:r>
              <w:rPr>
                <w:rFonts w:cs="Arial" w:hAnsi="Arial" w:eastAsia="Arial" w:ascii="Arial"/>
                <w:b w:val="1"/>
                <w:sz w:val="20"/>
              </w:rPr>
              <w:t xml:space="preserve">Output 1 total: 54,800 USD</w:t>
            </w:r>
            <w:r>
              <w:rPr>
                <w:rFonts w:cs="Arial" w:hAnsi="Arial" w:eastAsia="Arial" w:ascii="Arial"/>
                <w:sz w:val="20"/>
              </w:rPr>
              <w:t xml:space="preserve"> </w:t>
            </w:r>
          </w:p>
        </w:tc>
      </w:tr>
      <w:tr>
        <w:trPr>
          <w:trHeight w:val="3680" w:hRule="atLeast"/>
        </w:trPr>
        <w:tc>
          <w:tcPr>
            <w:tcW w:w="3419" w:type="dxa"/>
            <w:tcBorders>
              <w:top w:val="single" w:sz="4" w:color="000000"/>
              <w:left w:val="single" w:sz="4" w:color="000000"/>
              <w:bottom w:val="single" w:sz="4" w:color="000000"/>
              <w:right w:val="single" w:sz="4" w:color="000000"/>
            </w:tcBorders>
            <w:vAlign w:val="top"/>
          </w:tcPr>
          <w:p>
            <w:pPr>
              <w:spacing w:before="0" w:after="32" w:line="259" w:lineRule="auto"/>
              <w:ind w:left="0" w:right="0" w:firstLine="0"/>
              <w:jc w:val="left"/>
            </w:pPr>
            <w:r>
              <w:rPr>
                <w:rFonts w:cs="Arial" w:hAnsi="Arial" w:eastAsia="Arial" w:ascii="Arial"/>
                <w:b w:val="1"/>
              </w:rPr>
              <w:t xml:space="preserve">Output 2: </w:t>
            </w:r>
          </w:p>
          <w:p>
            <w:pPr>
              <w:spacing w:before="0" w:after="0" w:line="259" w:lineRule="auto"/>
              <w:ind w:left="0" w:right="0" w:firstLine="0"/>
              <w:jc w:val="left"/>
            </w:pPr>
            <w:r>
              <w:rPr>
                <w:rFonts w:cs="Calibri" w:hAnsi="Calibri" w:eastAsia="Calibri" w:ascii="Calibri"/>
                <w:b w:val="1"/>
              </w:rPr>
              <w:t xml:space="preserve">Education and Promotion of </w:t>
            </w:r>
          </w:p>
          <w:p>
            <w:pPr>
              <w:spacing w:before="0" w:after="23" w:line="259" w:lineRule="auto"/>
              <w:ind w:left="0" w:right="0" w:firstLine="0"/>
              <w:jc w:val="left"/>
            </w:pPr>
            <w:r>
              <w:rPr>
                <w:rFonts w:cs="Calibri" w:hAnsi="Calibri" w:eastAsia="Calibri" w:ascii="Calibri"/>
                <w:b w:val="1"/>
              </w:rPr>
              <w:t xml:space="preserve">Ecotourism and Environment </w:t>
            </w:r>
          </w:p>
          <w:p>
            <w:pPr>
              <w:spacing w:before="0" w:after="72" w:line="259" w:lineRule="auto"/>
              <w:ind w:left="0" w:right="0" w:firstLine="0"/>
              <w:jc w:val="left"/>
            </w:pPr>
            <w:r>
              <w:rPr>
                <w:rFonts w:cs="Calibri" w:hAnsi="Calibri" w:eastAsia="Calibri" w:ascii="Calibri"/>
                <w:b w:val="1"/>
              </w:rPr>
              <w:t xml:space="preserve">Protection</w:t>
            </w:r>
            <w:r>
              <w:rPr>
                <w:rFonts w:cs="Arial" w:hAnsi="Arial" w:eastAsia="Arial" w:ascii="Arial"/>
                <w:b w:val="1"/>
              </w:rPr>
              <w:t xml:space="preserve"> </w:t>
            </w:r>
          </w:p>
          <w:p>
            <w:pPr>
              <w:spacing w:before="0" w:after="61" w:line="239" w:lineRule="auto"/>
              <w:ind w:left="0" w:right="10" w:firstLine="0"/>
              <w:jc w:val="left"/>
            </w:pPr>
            <w:r>
              <w:rPr>
                <w:rFonts w:cs="Arial" w:hAnsi="Arial" w:eastAsia="Arial" w:ascii="Arial"/>
                <w:i w:val="1"/>
                <w:sz w:val="20"/>
              </w:rPr>
              <w:t xml:space="preserve">Baseline: Capacity of local Tourist Agencies on promoting Vlasina Lake is very low. </w:t>
            </w:r>
          </w:p>
          <w:p>
            <w:pPr>
              <w:spacing w:before="0" w:after="61" w:line="239" w:lineRule="auto"/>
              <w:ind w:left="0" w:right="0" w:firstLine="0"/>
              <w:jc w:val="left"/>
            </w:pPr>
            <w:r>
              <w:rPr>
                <w:rFonts w:cs="Arial" w:hAnsi="Arial" w:eastAsia="Arial" w:ascii="Arial"/>
                <w:i w:val="1"/>
                <w:sz w:val="20"/>
              </w:rPr>
              <w:t xml:space="preserve">Indicators: At least 15% increased number of tourist by end of the project </w:t>
            </w:r>
          </w:p>
          <w:p>
            <w:pPr>
              <w:spacing w:before="0" w:after="0" w:line="259" w:lineRule="auto"/>
              <w:ind w:left="0" w:right="44" w:firstLine="0"/>
              <w:jc w:val="left"/>
            </w:pPr>
            <w:r>
              <w:rPr>
                <w:rFonts w:cs="Arial" w:hAnsi="Arial" w:eastAsia="Arial" w:ascii="Arial"/>
                <w:i w:val="1"/>
                <w:sz w:val="20"/>
              </w:rPr>
              <w:t xml:space="preserve">Targets: Promotional conferences organized, increased number of tourists, school trips organized for at least 500 pupils.  </w:t>
            </w:r>
          </w:p>
        </w:tc>
        <w:tc>
          <w:tcPr>
            <w:tcW w:w="5724" w:type="dxa"/>
            <w:tcBorders>
              <w:top w:val="single" w:sz="4" w:color="000000"/>
              <w:left w:val="single" w:sz="4" w:color="000000"/>
              <w:bottom w:val="single" w:sz="4" w:color="000000"/>
              <w:right w:val="single" w:sz="4" w:color="000000"/>
            </w:tcBorders>
            <w:vAlign w:val="top"/>
          </w:tcPr>
          <w:p>
            <w:pPr>
              <w:spacing w:before="0" w:after="24" w:line="259" w:lineRule="auto"/>
              <w:ind w:left="1" w:right="0" w:firstLine="0"/>
              <w:jc w:val="left"/>
            </w:pPr>
            <w:r>
              <w:rPr>
                <w:rFonts w:cs="Calibri" w:hAnsi="Calibri" w:eastAsia="Calibri" w:ascii="Calibri"/>
                <w:b w:val="1"/>
              </w:rPr>
              <w:t xml:space="preserve"> </w:t>
            </w:r>
          </w:p>
          <w:p>
            <w:pPr>
              <w:spacing w:before="0" w:after="0" w:line="259" w:lineRule="auto"/>
              <w:ind w:left="1" w:right="0" w:firstLine="0"/>
              <w:jc w:val="left"/>
            </w:pPr>
            <w:r>
              <w:rPr>
                <w:rFonts w:cs="Calibri" w:hAnsi="Calibri" w:eastAsia="Calibri" w:ascii="Calibri"/>
                <w:b w:val="1"/>
              </w:rPr>
              <w:t xml:space="preserve">Activity 1: </w:t>
            </w:r>
            <w:r>
              <w:rPr/>
              <w:t xml:space="preserve">Organisation of two conferences </w:t>
            </w:r>
          </w:p>
          <w:p>
            <w:pPr>
              <w:spacing w:before="0" w:after="0" w:line="259" w:lineRule="auto"/>
              <w:ind w:left="1" w:right="0" w:firstLine="0"/>
              <w:jc w:val="left"/>
            </w:pPr>
            <w:r>
              <w:rPr>
                <w:rFonts w:cs="Calibri" w:hAnsi="Calibri" w:eastAsia="Calibri" w:ascii="Calibri"/>
                <w:b w:val="1"/>
              </w:rPr>
              <w:t xml:space="preserve"> </w:t>
            </w:r>
          </w:p>
          <w:p>
            <w:pPr>
              <w:spacing w:before="0" w:after="0" w:line="259" w:lineRule="auto"/>
              <w:ind w:left="1" w:right="0" w:firstLine="0"/>
              <w:jc w:val="left"/>
            </w:pPr>
            <w:r>
              <w:rPr>
                <w:rFonts w:cs="Calibri" w:hAnsi="Calibri" w:eastAsia="Calibri" w:ascii="Calibri"/>
                <w:b w:val="1"/>
              </w:rPr>
              <w:t xml:space="preserve">Activity 2: </w:t>
            </w:r>
            <w:r>
              <w:rPr/>
              <w:t xml:space="preserve">Capacity building of the local tourist agencies </w:t>
            </w:r>
          </w:p>
          <w:p>
            <w:pPr>
              <w:spacing w:before="0" w:after="0" w:line="259" w:lineRule="auto"/>
              <w:ind w:left="1" w:right="0" w:firstLine="0"/>
              <w:jc w:val="left"/>
            </w:pPr>
            <w:r>
              <w:rPr>
                <w:rFonts w:cs="Calibri" w:hAnsi="Calibri" w:eastAsia="Calibri" w:ascii="Calibri"/>
                <w:b w:val="1"/>
              </w:rPr>
              <w:t xml:space="preserve"> </w:t>
            </w:r>
          </w:p>
          <w:p>
            <w:pPr>
              <w:spacing w:before="0" w:after="0" w:line="259" w:lineRule="auto"/>
              <w:ind w:left="1" w:right="0" w:firstLine="0"/>
              <w:jc w:val="left"/>
            </w:pPr>
            <w:r>
              <w:rPr>
                <w:rFonts w:cs="Calibri" w:hAnsi="Calibri" w:eastAsia="Calibri" w:ascii="Calibri"/>
                <w:b w:val="1"/>
              </w:rPr>
              <w:t xml:space="preserve">Activity 3: </w:t>
            </w:r>
            <w:r>
              <w:rPr/>
              <w:t xml:space="preserve">Education of schoolchildren on environment protection, organisation of the educational school trips and creation of the web site</w:t>
            </w:r>
            <w:r>
              <w:rPr>
                <w:rFonts w:cs="Arial" w:hAnsi="Arial" w:eastAsia="Arial" w:ascii="Arial"/>
                <w:sz w:val="20"/>
              </w:rPr>
              <w:t xml:space="preserve"> </w:t>
            </w:r>
          </w:p>
        </w:tc>
        <w:tc>
          <w:tcPr>
            <w:tcW w:w="2340"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i w:val="1"/>
                <w:sz w:val="20"/>
              </w:rPr>
              <w:t xml:space="preserve"> </w:t>
            </w:r>
          </w:p>
          <w:p>
            <w:pPr>
              <w:spacing w:before="0" w:after="42" w:line="259" w:lineRule="auto"/>
              <w:ind w:left="1" w:right="0" w:firstLine="0"/>
              <w:jc w:val="left"/>
            </w:pPr>
            <w:r>
              <w:rPr>
                <w:rFonts w:cs="Arial" w:hAnsi="Arial" w:eastAsia="Arial" w:ascii="Arial"/>
                <w:i w:val="1"/>
                <w:sz w:val="20"/>
              </w:rPr>
              <w:t xml:space="preserve">UNDP </w:t>
            </w:r>
          </w:p>
          <w:p>
            <w:pPr>
              <w:spacing w:before="0" w:after="0" w:line="259" w:lineRule="auto"/>
              <w:ind w:left="1" w:right="0" w:firstLine="0"/>
              <w:jc w:val="left"/>
            </w:pPr>
            <w:r>
              <w:rPr>
                <w:rFonts w:cs="Arial" w:hAnsi="Arial" w:eastAsia="Arial" w:ascii="Arial"/>
                <w:i w:val="1"/>
                <w:sz w:val="20"/>
              </w:rPr>
              <w:t xml:space="preserve">Centre for Development </w:t>
            </w:r>
          </w:p>
          <w:p>
            <w:pPr>
              <w:spacing w:before="0" w:after="0" w:line="259" w:lineRule="auto"/>
              <w:ind w:left="1" w:right="0" w:firstLine="0"/>
              <w:jc w:val="left"/>
            </w:pPr>
            <w:r>
              <w:rPr>
                <w:rFonts w:cs="Arial" w:hAnsi="Arial" w:eastAsia="Arial" w:ascii="Arial"/>
                <w:i w:val="1"/>
                <w:sz w:val="20"/>
              </w:rPr>
              <w:t xml:space="preserve">of Jablanica and Pcinja </w:t>
            </w:r>
          </w:p>
          <w:p>
            <w:pPr>
              <w:spacing w:before="0" w:after="0" w:line="259" w:lineRule="auto"/>
              <w:ind w:left="1" w:right="31" w:firstLine="0"/>
              <w:jc w:val="left"/>
            </w:pPr>
            <w:r>
              <w:rPr>
                <w:rFonts w:cs="Arial" w:hAnsi="Arial" w:eastAsia="Arial" w:ascii="Arial"/>
                <w:i w:val="1"/>
                <w:sz w:val="20"/>
              </w:rPr>
              <w:t xml:space="preserve">Region (RDA Leskovac) </w:t>
            </w:r>
          </w:p>
        </w:tc>
        <w:tc>
          <w:tcPr>
            <w:tcW w:w="2832" w:type="dxa"/>
            <w:tcBorders>
              <w:top w:val="single" w:sz="4" w:color="000000"/>
              <w:left w:val="single" w:sz="4" w:color="000000"/>
              <w:bottom w:val="single" w:sz="4" w:color="000000"/>
              <w:right w:val="single" w:sz="4" w:color="000000"/>
            </w:tcBorders>
            <w:vAlign w:val="top"/>
          </w:tcPr>
          <w:p>
            <w:pPr>
              <w:spacing w:before="0" w:after="42" w:line="259" w:lineRule="auto"/>
              <w:ind w:left="1" w:right="0" w:firstLine="0"/>
              <w:jc w:val="left"/>
            </w:pPr>
            <w:r>
              <w:rPr>
                <w:rFonts w:cs="Arial" w:hAnsi="Arial" w:eastAsia="Arial" w:ascii="Arial"/>
                <w:sz w:val="20"/>
              </w:rPr>
              <w:t xml:space="preserve"> </w:t>
            </w:r>
          </w:p>
          <w:p>
            <w:pPr>
              <w:spacing w:before="0" w:after="0" w:line="259" w:lineRule="auto"/>
              <w:ind w:left="1" w:right="0" w:firstLine="0"/>
              <w:jc w:val="left"/>
            </w:pPr>
            <w:r>
              <w:rPr>
                <w:rFonts w:cs="Arial" w:hAnsi="Arial" w:eastAsia="Arial" w:ascii="Arial"/>
                <w:sz w:val="20"/>
              </w:rPr>
              <w:t xml:space="preserve">Activity 2.1: 16,113 USD  </w:t>
            </w:r>
          </w:p>
          <w:p>
            <w:pPr>
              <w:spacing w:before="0" w:after="0" w:line="259" w:lineRule="auto"/>
              <w:ind w:left="1" w:right="0" w:firstLine="0"/>
              <w:jc w:val="left"/>
            </w:pPr>
            <w:r>
              <w:rPr>
                <w:rFonts w:cs="Arial" w:hAnsi="Arial" w:eastAsia="Arial" w:ascii="Arial"/>
                <w:sz w:val="20"/>
              </w:rPr>
              <w:t xml:space="preserve"> </w:t>
            </w:r>
          </w:p>
          <w:p>
            <w:pPr>
              <w:spacing w:before="0" w:after="0" w:line="259" w:lineRule="auto"/>
              <w:ind w:left="1" w:right="0" w:firstLine="0"/>
              <w:jc w:val="left"/>
            </w:pPr>
            <w:r>
              <w:rPr>
                <w:rFonts w:cs="Arial" w:hAnsi="Arial" w:eastAsia="Arial" w:ascii="Arial"/>
                <w:sz w:val="20"/>
              </w:rPr>
              <w:t xml:space="preserve">Activity 2.2: 15,715 USD </w:t>
            </w:r>
          </w:p>
          <w:p>
            <w:pPr>
              <w:spacing w:before="0" w:after="0" w:line="259" w:lineRule="auto"/>
              <w:ind w:left="1" w:right="0" w:firstLine="0"/>
              <w:jc w:val="left"/>
            </w:pPr>
            <w:r>
              <w:rPr>
                <w:rFonts w:cs="Arial" w:hAnsi="Arial" w:eastAsia="Arial" w:ascii="Arial"/>
                <w:sz w:val="20"/>
              </w:rPr>
              <w:t xml:space="preserve"> </w:t>
            </w:r>
          </w:p>
          <w:p>
            <w:pPr>
              <w:spacing w:before="0" w:after="0" w:line="259" w:lineRule="auto"/>
              <w:ind w:left="1" w:right="0" w:firstLine="0"/>
              <w:jc w:val="left"/>
            </w:pPr>
            <w:r>
              <w:rPr>
                <w:rFonts w:cs="Arial" w:hAnsi="Arial" w:eastAsia="Arial" w:ascii="Arial"/>
                <w:sz w:val="20"/>
              </w:rPr>
              <w:t xml:space="preserve">Activity 2.3: 24,575 USD </w:t>
            </w:r>
          </w:p>
          <w:p>
            <w:pPr>
              <w:spacing w:before="0" w:after="0" w:line="259" w:lineRule="auto"/>
              <w:ind w:left="1" w:right="0" w:firstLine="0"/>
              <w:jc w:val="left"/>
            </w:pPr>
            <w:r>
              <w:rPr>
                <w:rFonts w:cs="Arial" w:hAnsi="Arial" w:eastAsia="Arial" w:ascii="Arial"/>
                <w:sz w:val="20"/>
              </w:rPr>
              <w:t xml:space="preserve"> </w:t>
            </w:r>
          </w:p>
          <w:p>
            <w:pPr>
              <w:spacing w:before="0" w:after="0" w:line="259" w:lineRule="auto"/>
              <w:ind w:left="1" w:right="0" w:firstLine="0"/>
              <w:jc w:val="left"/>
            </w:pPr>
            <w:r>
              <w:rPr>
                <w:rFonts w:cs="Arial" w:hAnsi="Arial" w:eastAsia="Arial" w:ascii="Arial"/>
                <w:b w:val="1"/>
                <w:sz w:val="20"/>
              </w:rPr>
              <w:t xml:space="preserve">Output 2 total: 56,403 USD</w:t>
            </w:r>
            <w:r>
              <w:rPr>
                <w:rFonts w:cs="Arial" w:hAnsi="Arial" w:eastAsia="Arial" w:ascii="Arial"/>
                <w:i w:val="1"/>
                <w:sz w:val="20"/>
              </w:rPr>
              <w:t xml:space="preserve"> </w:t>
            </w:r>
          </w:p>
        </w:tc>
      </w:tr>
    </w:tbl>
    <w:p>
      <w:pPr>
        <w:spacing w:before="0" w:after="0" w:line="259" w:lineRule="auto"/>
        <w:ind w:left="0" w:right="176" w:firstLine="0"/>
        <w:jc w:val="right"/>
      </w:pPr>
      <w:r>
        <w:rPr>
          <w:rFonts w:cs="Arial" w:hAnsi="Arial" w:eastAsia="Arial" w:ascii="Arial"/>
        </w:rPr>
        <w:t xml:space="preserve"> </w:t>
      </w:r>
    </w:p>
    <w:p>
      <w:pPr>
        <w:spacing w:before="0" w:after="0" w:line="259" w:lineRule="auto"/>
        <w:ind w:left="0" w:right="0" w:firstLine="0"/>
      </w:pPr>
      <w:r>
        <w:rPr>
          <w:rFonts w:cs="Arial" w:hAnsi="Arial" w:eastAsia="Arial" w:ascii="Arial"/>
        </w:rPr>
        <w:t xml:space="preserve"> </w:t>
      </w:r>
    </w:p>
    <w:tbl>
      <w:tblPr>
        <w:tblStyle w:val="TableGrid"/>
        <w:tblW w:w="14317" w:type="dxa"/>
        <w:tblInd w:w="0" w:type="dxa"/>
        <w:tblCellMar>
          <w:top w:w="0" w:type="dxa"/>
          <w:left w:w="108" w:type="dxa"/>
          <w:bottom w:w="0" w:type="dxa"/>
          <w:right w:w="54" w:type="dxa"/>
        </w:tblCellMar>
      </w:tblPr>
      <w:tblGrid>
        <w:gridCol w:w="3420"/>
        <w:gridCol w:w="5724"/>
        <w:gridCol w:w="2340"/>
        <w:gridCol w:w="2833"/>
      </w:tblGrid>
      <w:tr>
        <w:trPr>
          <w:trHeight w:val="3244" w:hRule="atLeast"/>
        </w:trPr>
        <w:tc>
          <w:tcPr>
            <w:tcW w:w="3420" w:type="dxa"/>
            <w:tcBorders>
              <w:top w:val="single" w:sz="4" w:color="000000"/>
              <w:left w:val="single" w:sz="4" w:color="000000"/>
              <w:bottom w:val="single" w:sz="4" w:color="000000"/>
              <w:right w:val="single" w:sz="4" w:color="000000"/>
            </w:tcBorders>
            <w:vAlign w:val="top"/>
          </w:tcPr>
          <w:p>
            <w:pPr>
              <w:spacing w:before="0" w:after="50" w:line="259" w:lineRule="auto"/>
              <w:ind w:left="0" w:right="0" w:firstLine="0"/>
              <w:jc w:val="left"/>
            </w:pPr>
            <w:r>
              <w:rPr>
                <w:rFonts w:cs="Arial" w:hAnsi="Arial" w:eastAsia="Arial" w:ascii="Arial"/>
                <w:b w:val="1"/>
              </w:rPr>
              <w:t xml:space="preserve">Output 3: </w:t>
            </w:r>
          </w:p>
          <w:p>
            <w:pPr>
              <w:spacing w:before="0" w:after="43" w:line="261" w:lineRule="auto"/>
              <w:ind w:left="0" w:right="0" w:firstLine="0"/>
              <w:jc w:val="left"/>
            </w:pPr>
            <w:r>
              <w:rPr>
                <w:rFonts w:cs="Calibri" w:hAnsi="Calibri" w:eastAsia="Calibri" w:ascii="Calibri"/>
                <w:b w:val="1"/>
                <w:sz w:val="24"/>
              </w:rPr>
              <w:t xml:space="preserve">Tourist Infrastructure Construction</w:t>
            </w:r>
            <w:r>
              <w:rPr>
                <w:rFonts w:cs="Arial" w:hAnsi="Arial" w:eastAsia="Arial" w:ascii="Arial"/>
                <w:b w:val="1"/>
              </w:rPr>
              <w:t xml:space="preserve">  </w:t>
            </w:r>
          </w:p>
          <w:p>
            <w:pPr>
              <w:spacing w:before="0" w:after="61" w:line="239" w:lineRule="auto"/>
              <w:ind w:left="0" w:right="35" w:firstLine="0"/>
              <w:jc w:val="left"/>
            </w:pPr>
            <w:r>
              <w:rPr>
                <w:rFonts w:cs="Arial" w:hAnsi="Arial" w:eastAsia="Arial" w:ascii="Arial"/>
                <w:i w:val="1"/>
                <w:sz w:val="20"/>
              </w:rPr>
              <w:t xml:space="preserve">Baseline: Rest stops do not exist, no tourist Info board, parking lot with insufficient capacity, no bird watching platforms, no marked hiking trails. </w:t>
            </w:r>
          </w:p>
          <w:p>
            <w:pPr>
              <w:spacing w:before="0" w:after="42" w:line="259" w:lineRule="auto"/>
              <w:ind w:left="0" w:right="0" w:firstLine="0"/>
              <w:jc w:val="left"/>
            </w:pPr>
            <w:r>
              <w:rPr>
                <w:rFonts w:cs="Arial" w:hAnsi="Arial" w:eastAsia="Arial" w:ascii="Arial"/>
                <w:i w:val="1"/>
                <w:sz w:val="20"/>
              </w:rPr>
              <w:t xml:space="preserve">Indicators: yes/no </w:t>
            </w:r>
          </w:p>
          <w:p>
            <w:pPr>
              <w:spacing w:before="0" w:after="0" w:line="259" w:lineRule="auto"/>
              <w:ind w:left="0" w:right="0" w:firstLine="0"/>
              <w:jc w:val="left"/>
            </w:pPr>
            <w:r>
              <w:rPr>
                <w:rFonts w:cs="Arial" w:hAnsi="Arial" w:eastAsia="Arial" w:ascii="Arial"/>
                <w:i w:val="1"/>
                <w:sz w:val="20"/>
              </w:rPr>
              <w:t xml:space="preserve">Targets: Rest stops constructed, bird watching platform constructed, hiking trail marked </w:t>
            </w:r>
          </w:p>
        </w:tc>
        <w:tc>
          <w:tcPr>
            <w:tcW w:w="5724"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libri" w:hAnsi="Calibri" w:eastAsia="Calibri" w:ascii="Calibri"/>
                <w:b w:val="1"/>
              </w:rPr>
              <w:t xml:space="preserve"> </w:t>
            </w:r>
          </w:p>
          <w:p>
            <w:pPr>
              <w:spacing w:before="0" w:after="2" w:line="224" w:lineRule="auto"/>
              <w:ind w:left="0" w:right="0" w:firstLine="0"/>
              <w:jc w:val="left"/>
            </w:pPr>
            <w:r>
              <w:rPr>
                <w:rFonts w:cs="Calibri" w:hAnsi="Calibri" w:eastAsia="Calibri" w:ascii="Calibri"/>
                <w:b w:val="1"/>
              </w:rPr>
              <w:t xml:space="preserve">Activity 3.1: </w:t>
            </w:r>
            <w:r>
              <w:rPr/>
              <w:t xml:space="preserve">Construction of the Rest Stops / Tourist Micro Centers </w:t>
            </w:r>
            <w:r>
              <w:rPr>
                <w:rFonts w:cs="Calibri" w:hAnsi="Calibri" w:eastAsia="Calibri" w:ascii="Calibri"/>
                <w:b w:val="1"/>
              </w:rPr>
              <w:t xml:space="preserve"> </w:t>
            </w:r>
          </w:p>
          <w:p>
            <w:pPr>
              <w:spacing w:before="0" w:after="0" w:line="259" w:lineRule="auto"/>
              <w:ind w:left="0" w:right="0" w:firstLine="0"/>
              <w:jc w:val="left"/>
            </w:pPr>
            <w:r>
              <w:rPr>
                <w:rFonts w:cs="Calibri" w:hAnsi="Calibri" w:eastAsia="Calibri" w:ascii="Calibri"/>
                <w:b w:val="1"/>
              </w:rPr>
              <w:t xml:space="preserve"> </w:t>
            </w:r>
          </w:p>
          <w:p>
            <w:pPr>
              <w:spacing w:before="0" w:after="2" w:line="224" w:lineRule="auto"/>
              <w:ind w:left="0" w:right="0" w:firstLine="0"/>
            </w:pPr>
            <w:r>
              <w:rPr>
                <w:rFonts w:cs="Calibri" w:hAnsi="Calibri" w:eastAsia="Calibri" w:ascii="Calibri"/>
                <w:b w:val="1"/>
              </w:rPr>
              <w:t xml:space="preserve">Activity 3.2: </w:t>
            </w:r>
            <w:r>
              <w:rPr/>
              <w:t xml:space="preserve">Construction of the seasonal market, access road and parking lot construction</w:t>
            </w:r>
            <w:r>
              <w:rPr>
                <w:rFonts w:cs="Calibri" w:hAnsi="Calibri" w:eastAsia="Calibri" w:ascii="Calibri"/>
                <w:b w:val="1"/>
              </w:rPr>
              <w:t xml:space="preserve"> </w:t>
            </w:r>
          </w:p>
          <w:p>
            <w:pPr>
              <w:spacing w:before="0" w:after="0" w:line="259" w:lineRule="auto"/>
              <w:ind w:left="0" w:right="0" w:firstLine="0"/>
              <w:jc w:val="left"/>
            </w:pPr>
            <w:r>
              <w:rPr>
                <w:rFonts w:cs="Calibri" w:hAnsi="Calibri" w:eastAsia="Calibri" w:ascii="Calibri"/>
                <w:b w:val="1"/>
              </w:rPr>
              <w:t xml:space="preserve"> </w:t>
            </w:r>
          </w:p>
          <w:p>
            <w:pPr>
              <w:spacing w:before="0" w:after="0" w:line="259" w:lineRule="auto"/>
              <w:ind w:left="0" w:right="0" w:firstLine="0"/>
              <w:jc w:val="left"/>
            </w:pPr>
            <w:r>
              <w:rPr>
                <w:rFonts w:cs="Calibri" w:hAnsi="Calibri" w:eastAsia="Calibri" w:ascii="Calibri"/>
                <w:b w:val="1"/>
              </w:rPr>
              <w:t xml:space="preserve">Activity 3.3: </w:t>
            </w:r>
            <w:r>
              <w:rPr/>
              <w:t xml:space="preserve">Construction of Bird Watching Platform</w:t>
            </w:r>
            <w:r>
              <w:rPr>
                <w:rFonts w:cs="Calibri" w:hAnsi="Calibri" w:eastAsia="Calibri" w:ascii="Calibri"/>
                <w:b w:val="1"/>
              </w:rPr>
              <w:t xml:space="preserve"> </w:t>
            </w:r>
          </w:p>
          <w:p>
            <w:pPr>
              <w:spacing w:before="0" w:after="0" w:line="259" w:lineRule="auto"/>
              <w:ind w:left="0" w:right="0" w:firstLine="0"/>
              <w:jc w:val="left"/>
            </w:pPr>
            <w:r>
              <w:rPr>
                <w:rFonts w:cs="Calibri" w:hAnsi="Calibri" w:eastAsia="Calibri" w:ascii="Calibri"/>
                <w:b w:val="1"/>
              </w:rPr>
              <w:t xml:space="preserve"> </w:t>
            </w:r>
          </w:p>
          <w:p>
            <w:pPr>
              <w:spacing w:before="0" w:after="0" w:line="259" w:lineRule="auto"/>
              <w:ind w:left="0" w:right="0" w:firstLine="0"/>
              <w:jc w:val="left"/>
            </w:pPr>
            <w:r>
              <w:rPr>
                <w:rFonts w:cs="Calibri" w:hAnsi="Calibri" w:eastAsia="Calibri" w:ascii="Calibri"/>
                <w:b w:val="1"/>
              </w:rPr>
              <w:t xml:space="preserve">Activity 3.4: </w:t>
            </w:r>
            <w:r>
              <w:rPr/>
              <w:t xml:space="preserve">Tourist Info Boards</w:t>
            </w:r>
            <w:r>
              <w:rPr>
                <w:rFonts w:cs="Calibri" w:hAnsi="Calibri" w:eastAsia="Calibri" w:ascii="Calibri"/>
                <w:b w:val="1"/>
              </w:rPr>
              <w:t xml:space="preserve"> </w:t>
            </w:r>
          </w:p>
          <w:p>
            <w:pPr>
              <w:spacing w:before="0" w:after="0" w:line="259" w:lineRule="auto"/>
              <w:ind w:left="0" w:right="0" w:firstLine="0"/>
              <w:jc w:val="left"/>
            </w:pPr>
            <w:r>
              <w:rPr>
                <w:rFonts w:cs="Calibri" w:hAnsi="Calibri" w:eastAsia="Calibri" w:ascii="Calibri"/>
                <w:b w:val="1"/>
              </w:rPr>
              <w:t xml:space="preserve"> </w:t>
            </w:r>
          </w:p>
          <w:p>
            <w:pPr>
              <w:spacing w:before="0" w:after="0" w:line="259" w:lineRule="auto"/>
              <w:ind w:left="0" w:right="0" w:firstLine="0"/>
              <w:jc w:val="left"/>
            </w:pPr>
            <w:r>
              <w:rPr>
                <w:rFonts w:cs="Calibri" w:hAnsi="Calibri" w:eastAsia="Calibri" w:ascii="Calibri"/>
                <w:b w:val="1"/>
              </w:rPr>
              <w:t xml:space="preserve">Activity 3.5: </w:t>
            </w:r>
            <w:r>
              <w:rPr/>
              <w:t xml:space="preserve">Marking of Hiking Trails around the Lake</w:t>
            </w:r>
            <w:r>
              <w:rPr>
                <w:rFonts w:cs="Arial" w:hAnsi="Arial" w:eastAsia="Arial" w:ascii="Arial"/>
                <w:sz w:val="20"/>
              </w:rPr>
              <w:t xml:space="preserve"> </w:t>
            </w:r>
          </w:p>
        </w:tc>
        <w:tc>
          <w:tcPr>
            <w:tcW w:w="2340" w:type="dxa"/>
            <w:tcBorders>
              <w:top w:val="single" w:sz="4" w:color="000000"/>
              <w:left w:val="single" w:sz="4" w:color="000000"/>
              <w:bottom w:val="single" w:sz="4" w:color="000000"/>
              <w:right w:val="single" w:sz="4" w:color="000000"/>
            </w:tcBorders>
            <w:vAlign w:val="top"/>
          </w:tcPr>
          <w:p>
            <w:pPr>
              <w:spacing w:before="0" w:after="42" w:line="259" w:lineRule="auto"/>
              <w:ind w:left="0" w:right="0" w:firstLine="0"/>
              <w:jc w:val="left"/>
            </w:pPr>
            <w:r>
              <w:rPr>
                <w:rFonts w:cs="Arial" w:hAnsi="Arial" w:eastAsia="Arial" w:ascii="Arial"/>
                <w:i w:val="1"/>
                <w:sz w:val="20"/>
              </w:rPr>
              <w:t xml:space="preserve"> </w:t>
            </w:r>
          </w:p>
          <w:p>
            <w:pPr>
              <w:spacing w:before="0" w:after="40" w:line="259" w:lineRule="auto"/>
              <w:ind w:left="0" w:right="0" w:firstLine="0"/>
              <w:jc w:val="left"/>
            </w:pPr>
            <w:r>
              <w:rPr>
                <w:rFonts w:cs="Arial" w:hAnsi="Arial" w:eastAsia="Arial" w:ascii="Arial"/>
                <w:i w:val="1"/>
                <w:sz w:val="20"/>
              </w:rPr>
              <w:t xml:space="preserve">UNDP </w:t>
            </w:r>
          </w:p>
          <w:p>
            <w:pPr>
              <w:spacing w:before="0" w:after="0" w:line="259" w:lineRule="auto"/>
              <w:ind w:left="0" w:right="0" w:firstLine="0"/>
              <w:jc w:val="left"/>
            </w:pPr>
            <w:r>
              <w:rPr>
                <w:rFonts w:cs="Arial" w:hAnsi="Arial" w:eastAsia="Arial" w:ascii="Arial"/>
                <w:i w:val="1"/>
                <w:sz w:val="20"/>
              </w:rPr>
              <w:t xml:space="preserve">Centre for Development </w:t>
            </w:r>
          </w:p>
          <w:p>
            <w:pPr>
              <w:spacing w:before="0" w:after="0" w:line="259" w:lineRule="auto"/>
              <w:ind w:left="0" w:right="0" w:firstLine="0"/>
              <w:jc w:val="left"/>
            </w:pPr>
            <w:r>
              <w:rPr>
                <w:rFonts w:cs="Arial" w:hAnsi="Arial" w:eastAsia="Arial" w:ascii="Arial"/>
                <w:i w:val="1"/>
                <w:sz w:val="20"/>
              </w:rPr>
              <w:t xml:space="preserve">of Jablanica and Pcinja </w:t>
            </w:r>
          </w:p>
          <w:p>
            <w:pPr>
              <w:spacing w:before="0" w:after="0" w:line="259" w:lineRule="auto"/>
              <w:ind w:left="0" w:right="31" w:firstLine="0"/>
              <w:jc w:val="left"/>
            </w:pPr>
            <w:r>
              <w:rPr>
                <w:rFonts w:cs="Arial" w:hAnsi="Arial" w:eastAsia="Arial" w:ascii="Arial"/>
                <w:i w:val="1"/>
                <w:sz w:val="20"/>
              </w:rPr>
              <w:t xml:space="preserve">Region (RDA Leskovac) </w:t>
            </w:r>
          </w:p>
        </w:tc>
        <w:tc>
          <w:tcPr>
            <w:tcW w:w="2833" w:type="dxa"/>
            <w:tcBorders>
              <w:top w:val="single" w:sz="4" w:color="000000"/>
              <w:left w:val="single" w:sz="4" w:color="000000"/>
              <w:bottom w:val="single" w:sz="4" w:color="000000"/>
              <w:right w:val="single" w:sz="4" w:color="000000"/>
            </w:tcBorders>
            <w:vAlign w:val="top"/>
          </w:tcPr>
          <w:p>
            <w:pPr>
              <w:spacing w:before="0" w:after="42" w:line="259" w:lineRule="auto"/>
              <w:ind w:left="0" w:right="0" w:firstLine="0"/>
              <w:jc w:val="left"/>
            </w:pPr>
            <w:r>
              <w:rPr>
                <w:rFonts w:cs="Arial" w:hAnsi="Arial" w:eastAsia="Arial" w:ascii="Arial"/>
                <w:sz w:val="20"/>
              </w:rPr>
              <w:t xml:space="preserve"> </w:t>
            </w:r>
          </w:p>
          <w:p>
            <w:pPr>
              <w:spacing w:before="0" w:after="0" w:line="259" w:lineRule="auto"/>
              <w:ind w:left="0" w:right="0" w:firstLine="0"/>
              <w:jc w:val="left"/>
            </w:pPr>
            <w:r>
              <w:rPr>
                <w:rFonts w:cs="Arial" w:hAnsi="Arial" w:eastAsia="Arial" w:ascii="Arial"/>
                <w:sz w:val="20"/>
              </w:rPr>
              <w:t xml:space="preserve">Activity 3.1: 26,781 USD </w:t>
            </w:r>
          </w:p>
          <w:p>
            <w:pPr>
              <w:spacing w:before="0" w:after="0" w:line="259" w:lineRule="auto"/>
              <w:ind w:left="0" w:right="0" w:firstLine="0"/>
              <w:jc w:val="left"/>
            </w:pPr>
            <w:r>
              <w:rPr>
                <w:rFonts w:cs="Arial" w:hAnsi="Arial" w:eastAsia="Arial" w:ascii="Arial"/>
                <w:sz w:val="20"/>
              </w:rPr>
              <w:t xml:space="preserve"> </w:t>
            </w:r>
          </w:p>
          <w:p>
            <w:pPr>
              <w:spacing w:before="0" w:after="0" w:line="259" w:lineRule="auto"/>
              <w:ind w:left="0" w:right="0" w:firstLine="0"/>
              <w:jc w:val="left"/>
            </w:pPr>
            <w:r>
              <w:rPr>
                <w:rFonts w:cs="Arial" w:hAnsi="Arial" w:eastAsia="Arial" w:ascii="Arial"/>
                <w:sz w:val="20"/>
              </w:rPr>
              <w:t xml:space="preserve">Activity 3.2: 19,892 USD </w:t>
            </w:r>
          </w:p>
          <w:p>
            <w:pPr>
              <w:spacing w:before="0" w:after="0" w:line="259" w:lineRule="auto"/>
              <w:ind w:left="0" w:right="0" w:firstLine="0"/>
              <w:jc w:val="left"/>
            </w:pPr>
            <w:r>
              <w:rPr>
                <w:rFonts w:cs="Arial" w:hAnsi="Arial" w:eastAsia="Arial" w:ascii="Arial"/>
                <w:sz w:val="20"/>
              </w:rPr>
              <w:t xml:space="preserve"> </w:t>
            </w:r>
          </w:p>
          <w:p>
            <w:pPr>
              <w:spacing w:before="0" w:after="0" w:line="259" w:lineRule="auto"/>
              <w:ind w:left="0" w:right="0" w:firstLine="0"/>
              <w:jc w:val="left"/>
            </w:pPr>
            <w:r>
              <w:rPr>
                <w:rFonts w:cs="Arial" w:hAnsi="Arial" w:eastAsia="Arial" w:ascii="Arial"/>
                <w:sz w:val="20"/>
              </w:rPr>
              <w:t xml:space="preserve">Activity 3.3: 11,473 USD </w:t>
            </w:r>
          </w:p>
          <w:p>
            <w:pPr>
              <w:spacing w:before="0" w:after="0" w:line="259" w:lineRule="auto"/>
              <w:ind w:left="0" w:right="0" w:firstLine="0"/>
              <w:jc w:val="left"/>
            </w:pPr>
            <w:r>
              <w:rPr>
                <w:rFonts w:cs="Arial" w:hAnsi="Arial" w:eastAsia="Arial" w:ascii="Arial"/>
                <w:sz w:val="20"/>
              </w:rPr>
              <w:t xml:space="preserve"> </w:t>
            </w:r>
          </w:p>
          <w:p>
            <w:pPr>
              <w:spacing w:before="0" w:after="0" w:line="259" w:lineRule="auto"/>
              <w:ind w:left="0" w:right="0" w:firstLine="0"/>
              <w:jc w:val="left"/>
            </w:pPr>
            <w:r>
              <w:rPr>
                <w:rFonts w:cs="Arial" w:hAnsi="Arial" w:eastAsia="Arial" w:ascii="Arial"/>
                <w:sz w:val="20"/>
              </w:rPr>
              <w:t xml:space="preserve">Activity 3.4: 14,535 USD </w:t>
            </w:r>
          </w:p>
          <w:p>
            <w:pPr>
              <w:spacing w:before="0" w:after="0" w:line="259" w:lineRule="auto"/>
              <w:ind w:left="0" w:right="0" w:firstLine="0"/>
              <w:jc w:val="left"/>
            </w:pPr>
            <w:r>
              <w:rPr>
                <w:rFonts w:cs="Arial" w:hAnsi="Arial" w:eastAsia="Arial" w:ascii="Arial"/>
                <w:sz w:val="20"/>
              </w:rPr>
              <w:t xml:space="preserve"> </w:t>
            </w:r>
          </w:p>
          <w:p>
            <w:pPr>
              <w:spacing w:before="0" w:after="0" w:line="259" w:lineRule="auto"/>
              <w:ind w:left="0" w:right="0" w:firstLine="0"/>
              <w:jc w:val="left"/>
            </w:pPr>
            <w:r>
              <w:rPr>
                <w:rFonts w:cs="Arial" w:hAnsi="Arial" w:eastAsia="Arial" w:ascii="Arial"/>
                <w:sz w:val="20"/>
              </w:rPr>
              <w:t xml:space="preserve">Activity 3.5: 10,707 USD </w:t>
            </w:r>
          </w:p>
          <w:p>
            <w:pPr>
              <w:spacing w:before="0" w:after="0" w:line="259" w:lineRule="auto"/>
              <w:ind w:left="0" w:right="0" w:firstLine="0"/>
              <w:jc w:val="left"/>
            </w:pPr>
            <w:r>
              <w:rPr>
                <w:rFonts w:cs="Arial" w:hAnsi="Arial" w:eastAsia="Arial" w:ascii="Arial"/>
                <w:sz w:val="20"/>
              </w:rPr>
              <w:t xml:space="preserve"> </w:t>
            </w:r>
          </w:p>
          <w:p>
            <w:pPr>
              <w:spacing w:before="0" w:after="0" w:line="259" w:lineRule="auto"/>
              <w:ind w:left="0" w:right="0" w:firstLine="0"/>
              <w:jc w:val="left"/>
            </w:pPr>
            <w:r>
              <w:rPr>
                <w:rFonts w:cs="Arial" w:hAnsi="Arial" w:eastAsia="Arial" w:ascii="Arial"/>
                <w:b w:val="1"/>
                <w:sz w:val="20"/>
              </w:rPr>
              <w:t xml:space="preserve">Output 3 total: 83,388 USD</w:t>
            </w:r>
            <w:r>
              <w:rPr>
                <w:rFonts w:cs="Arial" w:hAnsi="Arial" w:eastAsia="Arial" w:ascii="Arial"/>
                <w:b w:val="1"/>
                <w:i w:val="1"/>
                <w:sz w:val="20"/>
              </w:rPr>
              <w:t xml:space="preserve"> </w:t>
            </w:r>
          </w:p>
        </w:tc>
      </w:tr>
      <w:tr>
        <w:trPr>
          <w:trHeight w:val="3061" w:hRule="atLeast"/>
        </w:trPr>
        <w:tc>
          <w:tcPr>
            <w:tcW w:w="3420" w:type="dxa"/>
            <w:tcBorders>
              <w:top w:val="single" w:sz="4" w:color="000000"/>
              <w:left w:val="single" w:sz="4" w:color="000000"/>
              <w:bottom w:val="single" w:sz="4" w:color="000000"/>
              <w:right w:val="single" w:sz="4" w:color="000000"/>
            </w:tcBorders>
            <w:vAlign w:val="top"/>
          </w:tcPr>
          <w:p>
            <w:pPr>
              <w:spacing w:before="0" w:after="0" w:line="264" w:lineRule="auto"/>
              <w:ind w:left="0" w:right="692" w:firstLine="0"/>
            </w:pPr>
            <w:r>
              <w:rPr>
                <w:rFonts w:cs="Arial" w:hAnsi="Arial" w:eastAsia="Arial" w:ascii="Arial"/>
                <w:b w:val="1"/>
              </w:rPr>
              <w:t xml:space="preserve">Output 4: </w:t>
            </w:r>
            <w:r>
              <w:rPr>
                <w:rFonts w:cs="Calibri" w:hAnsi="Calibri" w:eastAsia="Calibri" w:ascii="Calibri"/>
                <w:b w:val="1"/>
                <w:sz w:val="24"/>
              </w:rPr>
              <w:t xml:space="preserve">Environment Protection </w:t>
            </w:r>
          </w:p>
          <w:p>
            <w:pPr>
              <w:spacing w:before="0" w:after="43" w:line="259" w:lineRule="auto"/>
              <w:ind w:left="0" w:right="0" w:firstLine="0"/>
              <w:jc w:val="left"/>
            </w:pPr>
            <w:r>
              <w:rPr>
                <w:rFonts w:cs="Calibri" w:hAnsi="Calibri" w:eastAsia="Calibri" w:ascii="Calibri"/>
                <w:b w:val="1"/>
                <w:sz w:val="24"/>
              </w:rPr>
              <w:t xml:space="preserve">Support</w:t>
            </w:r>
            <w:r>
              <w:rPr>
                <w:rFonts w:cs="Arial" w:hAnsi="Arial" w:eastAsia="Arial" w:ascii="Arial"/>
                <w:b w:val="1"/>
              </w:rPr>
              <w:t xml:space="preserve">  </w:t>
            </w:r>
          </w:p>
          <w:p>
            <w:pPr>
              <w:spacing w:before="0" w:after="1" w:line="239" w:lineRule="auto"/>
              <w:ind w:left="0" w:right="45" w:firstLine="0"/>
              <w:jc w:val="left"/>
            </w:pPr>
            <w:r>
              <w:rPr>
                <w:rFonts w:cs="Arial" w:hAnsi="Arial" w:eastAsia="Arial" w:ascii="Arial"/>
                <w:i w:val="1"/>
                <w:sz w:val="20"/>
              </w:rPr>
              <w:t xml:space="preserve">Baseline: Insufficient equipment and conditions for the ranger </w:t>
            </w:r>
          </w:p>
          <w:p>
            <w:pPr>
              <w:spacing w:before="0" w:after="42" w:line="259" w:lineRule="auto"/>
              <w:ind w:left="0" w:right="0" w:firstLine="0"/>
              <w:jc w:val="left"/>
            </w:pPr>
            <w:r>
              <w:rPr>
                <w:rFonts w:cs="Arial" w:hAnsi="Arial" w:eastAsia="Arial" w:ascii="Arial"/>
                <w:i w:val="1"/>
                <w:sz w:val="20"/>
              </w:rPr>
              <w:t xml:space="preserve">service to function </w:t>
            </w:r>
          </w:p>
          <w:p>
            <w:pPr>
              <w:spacing w:before="0" w:after="40" w:line="259" w:lineRule="auto"/>
              <w:ind w:left="0" w:right="0" w:firstLine="0"/>
              <w:jc w:val="left"/>
            </w:pPr>
            <w:r>
              <w:rPr>
                <w:rFonts w:cs="Arial" w:hAnsi="Arial" w:eastAsia="Arial" w:ascii="Arial"/>
                <w:i w:val="1"/>
                <w:sz w:val="20"/>
              </w:rPr>
              <w:t xml:space="preserve">Indicators: yes/no </w:t>
            </w:r>
          </w:p>
          <w:p>
            <w:pPr>
              <w:spacing w:before="0" w:after="0" w:line="259" w:lineRule="auto"/>
              <w:ind w:left="0" w:right="23" w:firstLine="0"/>
              <w:jc w:val="left"/>
            </w:pPr>
            <w:r>
              <w:rPr>
                <w:rFonts w:cs="Arial" w:hAnsi="Arial" w:eastAsia="Arial" w:ascii="Arial"/>
                <w:i w:val="1"/>
                <w:sz w:val="20"/>
              </w:rPr>
              <w:t xml:space="preserve">Targets: Patrol boat procured, waste containers procured, field office constructed and equipped </w:t>
            </w:r>
          </w:p>
        </w:tc>
        <w:tc>
          <w:tcPr>
            <w:tcW w:w="5724"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libri" w:hAnsi="Calibri" w:eastAsia="Calibri" w:ascii="Calibri"/>
                <w:b w:val="1"/>
              </w:rPr>
              <w:t xml:space="preserve"> </w:t>
            </w:r>
          </w:p>
          <w:p>
            <w:pPr>
              <w:spacing w:before="0" w:after="0" w:line="244" w:lineRule="auto"/>
              <w:ind w:left="0" w:right="0" w:firstLine="0"/>
            </w:pPr>
            <w:r>
              <w:rPr>
                <w:rFonts w:cs="Calibri" w:hAnsi="Calibri" w:eastAsia="Calibri" w:ascii="Calibri"/>
                <w:b w:val="1"/>
              </w:rPr>
              <w:t xml:space="preserve">Activity 4.1:</w:t>
            </w:r>
            <w:r>
              <w:rPr/>
              <w:t xml:space="preserve"> Procurement of a patrol boat to the Vlasina lake ranger service</w:t>
            </w:r>
            <w:r>
              <w:rPr>
                <w:rFonts w:cs="Arial" w:hAnsi="Arial" w:eastAsia="Arial" w:ascii="Arial"/>
                <w:sz w:val="20"/>
              </w:rPr>
              <w:t xml:space="preserve">  </w:t>
            </w:r>
          </w:p>
          <w:p>
            <w:pPr>
              <w:spacing w:before="0" w:after="0" w:line="259" w:lineRule="auto"/>
              <w:ind w:left="0" w:right="0" w:firstLine="0"/>
              <w:jc w:val="left"/>
            </w:pPr>
            <w:r>
              <w:rPr>
                <w:rFonts w:cs="Arial" w:hAnsi="Arial" w:eastAsia="Arial" w:ascii="Arial"/>
                <w:sz w:val="20"/>
              </w:rPr>
              <w:t xml:space="preserve"> </w:t>
            </w:r>
          </w:p>
          <w:p>
            <w:pPr>
              <w:spacing w:before="0" w:after="3" w:line="223" w:lineRule="auto"/>
              <w:ind w:left="0" w:right="0" w:firstLine="0"/>
              <w:jc w:val="left"/>
            </w:pPr>
            <w:r>
              <w:rPr>
                <w:rFonts w:cs="Calibri" w:hAnsi="Calibri" w:eastAsia="Calibri" w:ascii="Calibri"/>
                <w:b w:val="1"/>
              </w:rPr>
              <w:t xml:space="preserve">Activity 4.2: </w:t>
            </w:r>
            <w:r>
              <w:rPr/>
              <w:t xml:space="preserve">Procurement of containers for public waste collection</w:t>
            </w:r>
            <w:r>
              <w:rPr>
                <w:rFonts w:cs="Calibri" w:hAnsi="Calibri" w:eastAsia="Calibri" w:ascii="Calibri"/>
                <w:b w:val="1"/>
              </w:rPr>
              <w:t xml:space="preserve"> </w:t>
            </w:r>
          </w:p>
          <w:p>
            <w:pPr>
              <w:spacing w:before="0" w:after="0" w:line="259" w:lineRule="auto"/>
              <w:ind w:left="0" w:right="0" w:firstLine="0"/>
              <w:jc w:val="left"/>
            </w:pPr>
            <w:r>
              <w:rPr>
                <w:rFonts w:cs="Calibri" w:hAnsi="Calibri" w:eastAsia="Calibri" w:ascii="Calibri"/>
                <w:b w:val="1"/>
              </w:rPr>
              <w:t xml:space="preserve"> </w:t>
            </w:r>
          </w:p>
          <w:p>
            <w:pPr>
              <w:spacing w:before="0" w:after="2" w:line="224" w:lineRule="auto"/>
              <w:ind w:left="0" w:right="0" w:firstLine="0"/>
              <w:jc w:val="left"/>
            </w:pPr>
            <w:r>
              <w:rPr>
                <w:rFonts w:cs="Calibri" w:hAnsi="Calibri" w:eastAsia="Calibri" w:ascii="Calibri"/>
                <w:b w:val="1"/>
              </w:rPr>
              <w:t xml:space="preserve">Activity 4.3: </w:t>
            </w:r>
            <w:r>
              <w:rPr/>
              <w:t xml:space="preserve">Increasing Rangers Department capacities (trainings)</w:t>
            </w:r>
            <w:r>
              <w:rPr>
                <w:rFonts w:cs="Calibri" w:hAnsi="Calibri" w:eastAsia="Calibri" w:ascii="Calibri"/>
                <w:b w:val="1"/>
              </w:rPr>
              <w:t xml:space="preserve"> </w:t>
            </w:r>
          </w:p>
          <w:p>
            <w:pPr>
              <w:spacing w:before="0" w:after="0" w:line="259" w:lineRule="auto"/>
              <w:ind w:left="0" w:right="0" w:firstLine="0"/>
              <w:jc w:val="left"/>
            </w:pPr>
            <w:r>
              <w:rPr>
                <w:rFonts w:cs="Calibri" w:hAnsi="Calibri" w:eastAsia="Calibri" w:ascii="Calibri"/>
                <w:b w:val="1"/>
              </w:rPr>
              <w:t xml:space="preserve"> </w:t>
            </w:r>
          </w:p>
          <w:p>
            <w:pPr>
              <w:spacing w:before="0" w:after="0" w:line="259" w:lineRule="auto"/>
              <w:ind w:left="0" w:right="0" w:firstLine="0"/>
              <w:jc w:val="left"/>
            </w:pPr>
            <w:r>
              <w:rPr>
                <w:rFonts w:cs="Calibri" w:hAnsi="Calibri" w:eastAsia="Calibri" w:ascii="Calibri"/>
                <w:b w:val="1"/>
              </w:rPr>
              <w:t xml:space="preserve">Activity 4.4: </w:t>
            </w:r>
            <w:r>
              <w:rPr/>
              <w:t xml:space="preserve">Procurement of equipment to the </w:t>
            </w:r>
          </w:p>
          <w:p>
            <w:pPr>
              <w:spacing w:before="0" w:after="0" w:line="259" w:lineRule="auto"/>
              <w:ind w:left="0" w:right="0" w:firstLine="0"/>
              <w:jc w:val="left"/>
            </w:pPr>
            <w:r>
              <w:rPr/>
              <w:t xml:space="preserve">Construction Land Office and Rangers Department</w:t>
            </w:r>
            <w:r>
              <w:rPr>
                <w:rFonts w:cs="Arial" w:hAnsi="Arial" w:eastAsia="Arial" w:ascii="Arial"/>
                <w:sz w:val="20"/>
              </w:rPr>
              <w:t xml:space="preserve"> </w:t>
            </w:r>
          </w:p>
        </w:tc>
        <w:tc>
          <w:tcPr>
            <w:tcW w:w="2340" w:type="dxa"/>
            <w:tcBorders>
              <w:top w:val="single" w:sz="4" w:color="000000"/>
              <w:left w:val="single" w:sz="4" w:color="000000"/>
              <w:bottom w:val="single" w:sz="4" w:color="000000"/>
              <w:right w:val="single" w:sz="4" w:color="000000"/>
            </w:tcBorders>
            <w:vAlign w:val="top"/>
          </w:tcPr>
          <w:p>
            <w:pPr>
              <w:spacing w:before="0" w:after="42" w:line="259" w:lineRule="auto"/>
              <w:ind w:left="0" w:right="0" w:firstLine="0"/>
              <w:jc w:val="left"/>
            </w:pPr>
            <w:r>
              <w:rPr>
                <w:rFonts w:cs="Arial" w:hAnsi="Arial" w:eastAsia="Arial" w:ascii="Arial"/>
                <w:i w:val="1"/>
                <w:sz w:val="20"/>
              </w:rPr>
              <w:t xml:space="preserve"> </w:t>
            </w:r>
          </w:p>
          <w:p>
            <w:pPr>
              <w:spacing w:before="0" w:after="40" w:line="259" w:lineRule="auto"/>
              <w:ind w:left="0" w:right="0" w:firstLine="0"/>
              <w:jc w:val="left"/>
            </w:pPr>
            <w:r>
              <w:rPr>
                <w:rFonts w:cs="Arial" w:hAnsi="Arial" w:eastAsia="Arial" w:ascii="Arial"/>
                <w:i w:val="1"/>
                <w:sz w:val="20"/>
              </w:rPr>
              <w:t xml:space="preserve">UNDP </w:t>
            </w:r>
          </w:p>
          <w:p>
            <w:pPr>
              <w:spacing w:before="0" w:after="0" w:line="259" w:lineRule="auto"/>
              <w:ind w:left="0" w:right="0" w:firstLine="0"/>
              <w:jc w:val="left"/>
            </w:pPr>
            <w:r>
              <w:rPr>
                <w:rFonts w:cs="Arial" w:hAnsi="Arial" w:eastAsia="Arial" w:ascii="Arial"/>
                <w:i w:val="1"/>
                <w:sz w:val="20"/>
              </w:rPr>
              <w:t xml:space="preserve">Centre for Development </w:t>
            </w:r>
          </w:p>
          <w:p>
            <w:pPr>
              <w:spacing w:before="0" w:after="0" w:line="259" w:lineRule="auto"/>
              <w:ind w:left="0" w:right="0" w:firstLine="0"/>
              <w:jc w:val="left"/>
            </w:pPr>
            <w:r>
              <w:rPr>
                <w:rFonts w:cs="Arial" w:hAnsi="Arial" w:eastAsia="Arial" w:ascii="Arial"/>
                <w:i w:val="1"/>
                <w:sz w:val="20"/>
              </w:rPr>
              <w:t xml:space="preserve">of Jablanica and Pcinja </w:t>
            </w:r>
          </w:p>
          <w:p>
            <w:pPr>
              <w:spacing w:before="0" w:after="0" w:line="259" w:lineRule="auto"/>
              <w:ind w:left="0" w:right="31" w:firstLine="0"/>
              <w:jc w:val="left"/>
            </w:pPr>
            <w:r>
              <w:rPr>
                <w:rFonts w:cs="Arial" w:hAnsi="Arial" w:eastAsia="Arial" w:ascii="Arial"/>
                <w:i w:val="1"/>
                <w:sz w:val="20"/>
              </w:rPr>
              <w:t xml:space="preserve">Region (RDA Leskovac) </w:t>
            </w:r>
          </w:p>
        </w:tc>
        <w:tc>
          <w:tcPr>
            <w:tcW w:w="2833"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Arial" w:hAnsi="Arial" w:eastAsia="Arial" w:ascii="Arial"/>
                <w:sz w:val="20"/>
              </w:rPr>
              <w:t xml:space="preserve"> </w:t>
            </w:r>
          </w:p>
          <w:p>
            <w:pPr>
              <w:spacing w:before="0" w:after="0" w:line="259" w:lineRule="auto"/>
              <w:ind w:left="0" w:right="0" w:firstLine="0"/>
              <w:jc w:val="left"/>
            </w:pPr>
            <w:r>
              <w:rPr>
                <w:rFonts w:cs="Arial" w:hAnsi="Arial" w:eastAsia="Arial" w:ascii="Arial"/>
                <w:sz w:val="20"/>
              </w:rPr>
              <w:t xml:space="preserve">Activity 4.1: 11,192 USD </w:t>
            </w:r>
          </w:p>
          <w:p>
            <w:pPr>
              <w:spacing w:before="0" w:after="0" w:line="259" w:lineRule="auto"/>
              <w:ind w:left="0" w:right="0" w:firstLine="0"/>
              <w:jc w:val="left"/>
            </w:pPr>
            <w:r>
              <w:rPr>
                <w:rFonts w:cs="Arial" w:hAnsi="Arial" w:eastAsia="Arial" w:ascii="Arial"/>
                <w:sz w:val="20"/>
              </w:rPr>
              <w:t xml:space="preserve"> </w:t>
            </w:r>
          </w:p>
          <w:p>
            <w:pPr>
              <w:spacing w:before="0" w:after="0" w:line="259" w:lineRule="auto"/>
              <w:ind w:left="0" w:right="0" w:firstLine="0"/>
              <w:jc w:val="left"/>
            </w:pPr>
            <w:r>
              <w:rPr>
                <w:rFonts w:cs="Arial" w:hAnsi="Arial" w:eastAsia="Arial" w:ascii="Arial"/>
                <w:sz w:val="20"/>
              </w:rPr>
              <w:t xml:space="preserve">Activity 4.2:   7,267 USD </w:t>
            </w:r>
          </w:p>
          <w:p>
            <w:pPr>
              <w:spacing w:before="0" w:after="0" w:line="259" w:lineRule="auto"/>
              <w:ind w:left="0" w:right="0" w:firstLine="0"/>
              <w:jc w:val="left"/>
            </w:pPr>
            <w:r>
              <w:rPr>
                <w:rFonts w:cs="Arial" w:hAnsi="Arial" w:eastAsia="Arial" w:ascii="Arial"/>
                <w:sz w:val="20"/>
              </w:rPr>
              <w:t xml:space="preserve"> </w:t>
            </w:r>
          </w:p>
          <w:p>
            <w:pPr>
              <w:spacing w:before="0" w:after="0" w:line="259" w:lineRule="auto"/>
              <w:ind w:left="0" w:right="0" w:firstLine="0"/>
              <w:jc w:val="left"/>
            </w:pPr>
            <w:r>
              <w:rPr>
                <w:rFonts w:cs="Arial" w:hAnsi="Arial" w:eastAsia="Arial" w:ascii="Arial"/>
                <w:sz w:val="20"/>
              </w:rPr>
              <w:t xml:space="preserve">Activity 4.3:   7,267 USD </w:t>
            </w:r>
          </w:p>
          <w:p>
            <w:pPr>
              <w:spacing w:before="0" w:after="0" w:line="259" w:lineRule="auto"/>
              <w:ind w:left="0" w:right="0" w:firstLine="0"/>
              <w:jc w:val="left"/>
            </w:pPr>
            <w:r>
              <w:rPr>
                <w:rFonts w:cs="Arial" w:hAnsi="Arial" w:eastAsia="Arial" w:ascii="Arial"/>
                <w:i w:val="1"/>
                <w:sz w:val="20"/>
              </w:rPr>
              <w:t xml:space="preserve"> </w:t>
            </w:r>
          </w:p>
          <w:p>
            <w:pPr>
              <w:spacing w:before="0" w:after="0" w:line="259" w:lineRule="auto"/>
              <w:ind w:left="0" w:right="0" w:firstLine="0"/>
              <w:jc w:val="left"/>
            </w:pPr>
            <w:r>
              <w:rPr>
                <w:rFonts w:cs="Arial" w:hAnsi="Arial" w:eastAsia="Arial" w:ascii="Arial"/>
                <w:sz w:val="20"/>
              </w:rPr>
              <w:t xml:space="preserve">Activity 4.4: 11,399 USD </w:t>
            </w:r>
          </w:p>
          <w:p>
            <w:pPr>
              <w:spacing w:before="0" w:after="0" w:line="259" w:lineRule="auto"/>
              <w:ind w:left="0" w:right="0" w:firstLine="0"/>
              <w:jc w:val="left"/>
            </w:pPr>
            <w:r>
              <w:rPr>
                <w:rFonts w:cs="Arial" w:hAnsi="Arial" w:eastAsia="Arial" w:ascii="Arial"/>
                <w:sz w:val="20"/>
              </w:rPr>
              <w:t xml:space="preserve"> </w:t>
            </w:r>
          </w:p>
          <w:p>
            <w:pPr>
              <w:spacing w:before="0" w:after="0" w:line="259" w:lineRule="auto"/>
              <w:ind w:left="0" w:right="0" w:firstLine="0"/>
              <w:jc w:val="left"/>
            </w:pPr>
            <w:r>
              <w:rPr>
                <w:rFonts w:cs="Arial" w:hAnsi="Arial" w:eastAsia="Arial" w:ascii="Arial"/>
                <w:b w:val="1"/>
                <w:sz w:val="20"/>
              </w:rPr>
              <w:t xml:space="preserve">Output 4 total: 37,126 USD</w:t>
            </w:r>
            <w:r>
              <w:rPr>
                <w:rFonts w:cs="Arial" w:hAnsi="Arial" w:eastAsia="Arial" w:ascii="Arial"/>
                <w:i w:val="1"/>
                <w:sz w:val="20"/>
              </w:rPr>
              <w:t xml:space="preserve"> </w:t>
            </w:r>
          </w:p>
        </w:tc>
      </w:tr>
    </w:tbl>
    <w:p>
      <w:pPr>
        <w:spacing w:before="0" w:after="0" w:line="259" w:lineRule="auto"/>
        <w:ind w:left="0" w:right="0" w:firstLine="0"/>
      </w:pPr>
      <w:r>
        <w:rPr>
          <w:rFonts w:cs="Arial" w:hAnsi="Arial" w:eastAsia="Arial" w:ascii="Arial"/>
        </w:rPr>
        <w:t xml:space="preserve"> </w:t>
      </w:r>
    </w:p>
    <w:p>
      <w:pPr>
        <w:spacing w:before="0" w:after="40" w:line="259" w:lineRule="auto"/>
        <w:ind w:left="0" w:right="0" w:firstLine="0"/>
        <w:jc w:val="left"/>
      </w:pPr>
      <w:r>
        <w:rPr>
          <w:rFonts w:cs="Arial" w:hAnsi="Arial" w:eastAsia="Arial" w:ascii="Arial"/>
        </w:rPr>
        <w:t xml:space="preserve"> </w:t>
      </w:r>
    </w:p>
    <w:p>
      <w:pPr>
        <w:spacing w:before="0" w:after="0" w:line="259" w:lineRule="auto"/>
        <w:ind w:left="0" w:right="0" w:firstLine="0"/>
        <w:jc w:val="left"/>
      </w:pPr>
      <w:r>
        <w:rPr>
          <w:rFonts w:cs="Arial" w:hAnsi="Arial" w:eastAsia="Arial" w:ascii="Arial"/>
        </w:rPr>
        <w:t xml:space="preserve"> </w:t>
      </w:r>
    </w:p>
    <w:p>
      <w:pPr>
        <w:spacing w:before="0" w:after="118" w:line="259" w:lineRule="auto"/>
        <w:ind w:left="-30" w:right="0" w:firstLine="0"/>
        <w:jc w:val="left"/>
      </w:pPr>
      <w:r>
        <w:rPr>
          <w:rFonts w:cs="Calibri" w:hAnsi="Calibri" w:eastAsia="Calibri" w:ascii="Calibri"/>
          <w:sz w:val="22"/>
        </w:rPr>
        <w:drawing>
          <wp:inline distT="0" distB="0" distL="0" distR="0">
            <wp:extent cx="9633204" cy="6097"/>
            <wp:docPr id="73209" name="Group 73209"/>
            <wp:cNvGraphicFramePr/>
            <a:graphic>
              <a:graphicData uri="http://schemas.microsoft.com/office/word/2010/wordprocessingGroup">
                <wpg:wgp>
                  <wpg:cNvGrpSpPr/>
                  <wpg:grpSpPr>
                    <a:xfrm>
                      <a:off x="0" y="0"/>
                      <a:ext cx="9633204" cy="6097"/>
                      <a:chOff x="0" y="0"/>
                      <a:chExt cx="9633204" cy="6097"/>
                    </a:xfrm>
                  </wpg:grpSpPr>
                  <wps:wsp>
                    <wps:cNvPr id="81169" name="Shape 81169"/>
                    <wps:cNvSpPr/>
                    <wps:spPr>
                      <a:xfrm>
                        <a:off x="0" y="0"/>
                        <a:ext cx="9633204" cy="9145"/>
                      </a:xfrm>
                      <a:custGeom>
                        <a:pathLst>
                          <a:path w="9633204" h="9145">
                            <a:moveTo>
                              <a:pt x="0" y="0"/>
                            </a:moveTo>
                            <a:lnTo>
                              <a:pt x="9633204" y="0"/>
                            </a:lnTo>
                            <a:lnTo>
                              <a:pt x="9633204" y="9145"/>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numPr>
          <w:ilvl w:val="0"/>
          <w:numId w:val="9"/>
        </w:numPr>
        <w:spacing w:before="0" w:after="205" w:line="259" w:lineRule="auto"/>
        <w:ind w:left="720" w:right="0" w:hanging="720"/>
        <w:jc w:val="left"/>
      </w:pPr>
      <w:r>
        <w:rPr>
          <w:rFonts w:cs="Century Gothic" w:hAnsi="Century Gothic" w:eastAsia="Century Gothic" w:ascii="Century Gothic"/>
          <w:b w:val="1"/>
          <w:sz w:val="28"/>
        </w:rPr>
        <w:t xml:space="preserve">A</w:t>
      </w:r>
      <w:r>
        <w:rPr>
          <w:rFonts w:cs="Century Gothic" w:hAnsi="Century Gothic" w:eastAsia="Century Gothic" w:ascii="Century Gothic"/>
          <w:b w:val="1"/>
        </w:rPr>
        <w:t xml:space="preserve">NNUAL </w:t>
      </w:r>
      <w:r>
        <w:rPr>
          <w:rFonts w:cs="Century Gothic" w:hAnsi="Century Gothic" w:eastAsia="Century Gothic" w:ascii="Century Gothic"/>
          <w:b w:val="1"/>
          <w:sz w:val="28"/>
        </w:rPr>
        <w:t xml:space="preserve">W</w:t>
      </w:r>
      <w:r>
        <w:rPr>
          <w:rFonts w:cs="Century Gothic" w:hAnsi="Century Gothic" w:eastAsia="Century Gothic" w:ascii="Century Gothic"/>
          <w:b w:val="1"/>
        </w:rPr>
        <w:t xml:space="preserve">ORK </w:t>
      </w:r>
      <w:r>
        <w:rPr>
          <w:rFonts w:cs="Century Gothic" w:hAnsi="Century Gothic" w:eastAsia="Century Gothic" w:ascii="Century Gothic"/>
          <w:b w:val="1"/>
          <w:sz w:val="28"/>
        </w:rPr>
        <w:t xml:space="preserve">P</w:t>
      </w:r>
      <w:r>
        <w:rPr>
          <w:rFonts w:cs="Century Gothic" w:hAnsi="Century Gothic" w:eastAsia="Century Gothic" w:ascii="Century Gothic"/>
          <w:b w:val="1"/>
        </w:rPr>
        <w:t xml:space="preserve">LAN </w:t>
      </w:r>
      <w:r>
        <w:rPr>
          <w:rFonts w:cs="Century Gothic" w:hAnsi="Century Gothic" w:eastAsia="Century Gothic" w:ascii="Century Gothic"/>
          <w:b w:val="1"/>
          <w:sz w:val="28"/>
        </w:rPr>
        <w:t xml:space="preserve"> </w:t>
      </w:r>
    </w:p>
    <w:p>
      <w:pPr>
        <w:spacing w:before="0" w:after="39" w:line="259" w:lineRule="auto"/>
        <w:ind w:left="0" w:right="0" w:firstLine="0"/>
        <w:jc w:val="left"/>
      </w:pPr>
      <w:r>
        <w:rPr>
          <w:rFonts w:cs="Arial" w:hAnsi="Arial" w:eastAsia="Arial" w:ascii="Arial"/>
          <w:b w:val="1"/>
        </w:rPr>
        <w:t xml:space="preserve">Years: 2011, 2012, 2013 and 2014 (Note: Individual Annual Work Plans for each year will be produced upon project signature) </w:t>
      </w:r>
    </w:p>
    <w:p>
      <w:pPr>
        <w:spacing w:before="0" w:after="0" w:line="259" w:lineRule="auto"/>
        <w:ind w:left="0" w:right="0" w:firstLine="0"/>
        <w:jc w:val="left"/>
      </w:pPr>
      <w:r>
        <w:rPr>
          <w:rFonts w:cs="Arial" w:hAnsi="Arial" w:eastAsia="Arial" w:ascii="Arial"/>
        </w:rPr>
        <w:t xml:space="preserve"> </w:t>
      </w:r>
    </w:p>
    <w:tbl>
      <w:tblPr>
        <w:tblStyle w:val="TableGrid"/>
        <w:tblW w:w="15439" w:type="dxa"/>
        <w:tblInd w:w="-107" w:type="dxa"/>
        <w:tblCellMar>
          <w:top w:w="0" w:type="dxa"/>
          <w:left w:w="107" w:type="dxa"/>
          <w:bottom w:w="0" w:type="dxa"/>
          <w:right w:w="5" w:type="dxa"/>
        </w:tblCellMar>
      </w:tblPr>
      <w:tblGrid>
        <w:gridCol w:w="1242"/>
        <w:gridCol w:w="2710"/>
        <w:gridCol w:w="433"/>
        <w:gridCol w:w="433"/>
        <w:gridCol w:w="432"/>
        <w:gridCol w:w="432"/>
        <w:gridCol w:w="432"/>
        <w:gridCol w:w="432"/>
        <w:gridCol w:w="432"/>
        <w:gridCol w:w="435"/>
        <w:gridCol w:w="431"/>
        <w:gridCol w:w="432"/>
        <w:gridCol w:w="433"/>
        <w:gridCol w:w="454"/>
        <w:gridCol w:w="1651"/>
        <w:gridCol w:w="1060"/>
        <w:gridCol w:w="1841"/>
        <w:gridCol w:w="1724"/>
      </w:tblGrid>
      <w:tr>
        <w:trPr>
          <w:trHeight w:val="275" w:hRule="atLeast"/>
        </w:trPr>
        <w:tc>
          <w:tcPr>
            <w:tcW w:w="1242" w:type="dxa"/>
            <w:vMerge w:val="restart"/>
            <w:tcBorders>
              <w:top w:val="single" w:sz="4" w:color="000000"/>
              <w:left w:val="single" w:sz="4" w:color="000000"/>
              <w:bottom w:val="single" w:sz="4" w:color="000000"/>
              <w:right w:val="single" w:sz="4" w:color="000000"/>
            </w:tcBorders>
            <w:shd w:val="clear" w:fill="ffff9a"/>
            <w:vAlign w:val="center"/>
          </w:tcPr>
          <w:p>
            <w:pPr>
              <w:spacing w:before="0" w:after="0" w:line="259" w:lineRule="auto"/>
              <w:ind w:left="0" w:right="0" w:firstLine="0"/>
              <w:jc w:val="center"/>
            </w:pPr>
            <w:r>
              <w:rPr>
                <w:rFonts w:cs="Arial" w:hAnsi="Arial" w:eastAsia="Arial" w:ascii="Arial"/>
                <w:b w:val="1"/>
                <w:sz w:val="18"/>
              </w:rPr>
              <w:t xml:space="preserve">EXPECTED  OUTPUTS </w:t>
            </w:r>
          </w:p>
        </w:tc>
        <w:tc>
          <w:tcPr>
            <w:tcW w:w="2710" w:type="dxa"/>
            <w:vMerge w:val="restart"/>
            <w:tcBorders>
              <w:top w:val="single" w:sz="4" w:color="000000"/>
              <w:left w:val="single" w:sz="4" w:color="000000"/>
              <w:bottom w:val="single" w:sz="4" w:color="000000"/>
              <w:right w:val="single" w:sz="4" w:color="000000"/>
            </w:tcBorders>
            <w:shd w:val="clear" w:fill="ffff9a"/>
            <w:vAlign w:val="center"/>
          </w:tcPr>
          <w:p>
            <w:pPr>
              <w:spacing w:before="0" w:after="0" w:line="259" w:lineRule="auto"/>
              <w:ind w:left="0" w:right="102" w:firstLine="0"/>
              <w:jc w:val="center"/>
            </w:pPr>
            <w:r>
              <w:rPr>
                <w:rFonts w:cs="Arial" w:hAnsi="Arial" w:eastAsia="Arial" w:ascii="Arial"/>
                <w:b w:val="1"/>
                <w:sz w:val="18"/>
              </w:rPr>
              <w:t xml:space="preserve">PLANNED ACTIVITIES </w:t>
            </w:r>
          </w:p>
        </w:tc>
        <w:tc>
          <w:tcPr>
            <w:tcW w:w="433" w:type="dxa"/>
            <w:tcBorders>
              <w:top w:val="single" w:sz="4" w:color="000000"/>
              <w:left w:val="single" w:sz="4" w:color="000000"/>
              <w:bottom w:val="single" w:sz="4" w:color="000000"/>
              <w:right w:val="nil"/>
            </w:tcBorders>
            <w:shd w:val="clear" w:fill="ffff9a"/>
            <w:vAlign w:val="top"/>
          </w:tcPr>
          <w:p>
            <w:pPr>
              <w:bidi w:val="0"/>
              <w:spacing w:before="0" w:after="160" w:line="259" w:lineRule="auto"/>
              <w:ind w:left="0" w:right="0" w:firstLine="0"/>
              <w:jc w:val="left"/>
            </w:pPr>
          </w:p>
        </w:tc>
        <w:tc>
          <w:tcPr>
            <w:tcW w:w="865" w:type="dxa"/>
            <w:gridSpan w:val="2"/>
            <w:tcBorders>
              <w:top w:val="single" w:sz="4" w:color="000000"/>
              <w:left w:val="nil"/>
              <w:bottom w:val="single" w:sz="4" w:color="000000"/>
              <w:right w:val="nil"/>
            </w:tcBorders>
            <w:shd w:val="clear" w:fill="ffff9a"/>
            <w:vAlign w:val="top"/>
          </w:tcPr>
          <w:p>
            <w:pPr>
              <w:bidi w:val="0"/>
              <w:spacing w:before="0" w:after="160" w:line="259" w:lineRule="auto"/>
              <w:ind w:left="0" w:right="0" w:firstLine="0"/>
              <w:jc w:val="left"/>
            </w:pPr>
          </w:p>
        </w:tc>
        <w:tc>
          <w:tcPr>
            <w:tcW w:w="2594" w:type="dxa"/>
            <w:gridSpan w:val="6"/>
            <w:tcBorders>
              <w:top w:val="single" w:sz="4" w:color="000000"/>
              <w:left w:val="nil"/>
              <w:bottom w:val="single" w:sz="4" w:color="000000"/>
              <w:right w:val="nil"/>
            </w:tcBorders>
            <w:shd w:val="clear" w:fill="ffff9a"/>
            <w:vAlign w:val="top"/>
          </w:tcPr>
          <w:p>
            <w:pPr>
              <w:spacing w:before="0" w:after="0" w:line="259" w:lineRule="auto"/>
              <w:ind w:left="0" w:right="83" w:firstLine="0"/>
              <w:jc w:val="center"/>
            </w:pPr>
            <w:r>
              <w:rPr>
                <w:rFonts w:cs="Arial" w:hAnsi="Arial" w:eastAsia="Arial" w:ascii="Arial"/>
                <w:b w:val="1"/>
                <w:sz w:val="18"/>
              </w:rPr>
              <w:t xml:space="preserve">TIMEFRAME</w:t>
            </w:r>
          </w:p>
        </w:tc>
        <w:tc>
          <w:tcPr>
            <w:tcW w:w="865" w:type="dxa"/>
            <w:gridSpan w:val="2"/>
            <w:tcBorders>
              <w:top w:val="single" w:sz="4" w:color="000000"/>
              <w:left w:val="nil"/>
              <w:bottom w:val="single" w:sz="4" w:color="000000"/>
              <w:right w:val="nil"/>
            </w:tcBorders>
            <w:shd w:val="clear" w:fill="ffff9a"/>
            <w:vAlign w:val="top"/>
          </w:tcPr>
          <w:p>
            <w:pPr>
              <w:bidi w:val="0"/>
              <w:spacing w:before="0" w:after="160" w:line="259" w:lineRule="auto"/>
              <w:ind w:left="0" w:right="0" w:firstLine="0"/>
              <w:jc w:val="left"/>
            </w:pPr>
          </w:p>
        </w:tc>
        <w:tc>
          <w:tcPr>
            <w:tcW w:w="454" w:type="dxa"/>
            <w:tcBorders>
              <w:top w:val="single" w:sz="4" w:color="000000"/>
              <w:left w:val="nil"/>
              <w:bottom w:val="single" w:sz="4" w:color="000000"/>
              <w:right w:val="single" w:sz="4" w:color="000000"/>
            </w:tcBorders>
            <w:shd w:val="clear" w:fill="ffff9a"/>
            <w:vAlign w:val="top"/>
          </w:tcPr>
          <w:p>
            <w:pPr>
              <w:bidi w:val="0"/>
              <w:spacing w:before="0" w:after="160" w:line="259" w:lineRule="auto"/>
              <w:ind w:left="0" w:right="0" w:firstLine="0"/>
              <w:jc w:val="left"/>
            </w:pPr>
          </w:p>
        </w:tc>
        <w:tc>
          <w:tcPr>
            <w:tcW w:w="1651" w:type="dxa"/>
            <w:vMerge w:val="restart"/>
            <w:tcBorders>
              <w:top w:val="single" w:sz="4" w:color="000000"/>
              <w:left w:val="single" w:sz="4" w:color="000000"/>
              <w:bottom w:val="single" w:sz="4" w:color="000000"/>
              <w:right w:val="single" w:sz="4" w:color="000000"/>
            </w:tcBorders>
            <w:shd w:val="clear" w:fill="ffff9a"/>
            <w:vAlign w:val="center"/>
          </w:tcPr>
          <w:p>
            <w:pPr>
              <w:spacing w:before="0" w:after="0" w:line="259" w:lineRule="auto"/>
              <w:ind w:left="0" w:right="0" w:firstLine="0"/>
              <w:jc w:val="center"/>
            </w:pPr>
            <w:r>
              <w:rPr>
                <w:rFonts w:cs="Arial" w:hAnsi="Arial" w:eastAsia="Arial" w:ascii="Arial"/>
                <w:b w:val="1"/>
                <w:sz w:val="18"/>
              </w:rPr>
              <w:t xml:space="preserve">RESPONSIBLE PARTY </w:t>
            </w:r>
          </w:p>
        </w:tc>
        <w:tc>
          <w:tcPr>
            <w:tcW w:w="1060" w:type="dxa"/>
            <w:vMerge w:val="restart"/>
            <w:tcBorders>
              <w:top w:val="single" w:sz="4" w:color="000000"/>
              <w:left w:val="single" w:sz="4" w:color="000000"/>
              <w:bottom w:val="single" w:sz="4" w:color="000000"/>
              <w:right w:val="nil"/>
            </w:tcBorders>
            <w:shd w:val="clear" w:fill="ffff9a"/>
            <w:vAlign w:val="top"/>
          </w:tcPr>
          <w:p>
            <w:pPr>
              <w:bidi w:val="0"/>
              <w:spacing w:before="0" w:after="160" w:line="259" w:lineRule="auto"/>
              <w:ind w:left="0" w:right="0" w:firstLine="0"/>
              <w:jc w:val="left"/>
            </w:pPr>
          </w:p>
        </w:tc>
        <w:tc>
          <w:tcPr>
            <w:tcW w:w="3565" w:type="dxa"/>
            <w:gridSpan w:val="2"/>
            <w:vMerge w:val="restart"/>
            <w:tcBorders>
              <w:top w:val="single" w:sz="4" w:color="000000"/>
              <w:left w:val="nil"/>
              <w:bottom w:val="single" w:sz="4" w:color="000000"/>
              <w:right w:val="single" w:sz="4" w:color="000000"/>
            </w:tcBorders>
            <w:shd w:val="clear" w:fill="ffff9a"/>
            <w:vAlign w:val="center"/>
          </w:tcPr>
          <w:p>
            <w:pPr>
              <w:spacing w:before="0" w:after="0" w:line="259" w:lineRule="auto"/>
              <w:ind w:left="306" w:right="0" w:firstLine="0"/>
              <w:jc w:val="left"/>
            </w:pPr>
            <w:r>
              <w:rPr>
                <w:rFonts w:cs="Arial" w:hAnsi="Arial" w:eastAsia="Arial" w:ascii="Arial"/>
                <w:b w:val="1"/>
                <w:sz w:val="18"/>
              </w:rPr>
              <w:t xml:space="preserve">PLANNED BUDGET </w:t>
            </w:r>
          </w:p>
        </w:tc>
      </w:tr>
      <w:tr>
        <w:trPr>
          <w:trHeight w:val="254"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433" w:type="dxa"/>
            <w:tcBorders>
              <w:top w:val="single" w:sz="4" w:color="000000"/>
              <w:left w:val="single" w:sz="4" w:color="000000"/>
              <w:bottom w:val="single" w:sz="4" w:color="000000"/>
              <w:right w:val="nil"/>
            </w:tcBorders>
            <w:shd w:val="clear" w:fill="ffff9a"/>
            <w:vAlign w:val="top"/>
          </w:tcPr>
          <w:p>
            <w:pPr>
              <w:bidi w:val="0"/>
              <w:spacing w:before="0" w:after="160" w:line="259" w:lineRule="auto"/>
              <w:ind w:left="0" w:right="0" w:firstLine="0"/>
              <w:jc w:val="left"/>
            </w:pPr>
          </w:p>
        </w:tc>
        <w:tc>
          <w:tcPr>
            <w:tcW w:w="865" w:type="dxa"/>
            <w:gridSpan w:val="2"/>
            <w:tcBorders>
              <w:top w:val="single" w:sz="4" w:color="000000"/>
              <w:left w:val="nil"/>
              <w:bottom w:val="single" w:sz="4" w:color="000000"/>
              <w:right w:val="nil"/>
            </w:tcBorders>
            <w:shd w:val="clear" w:fill="ffff9a"/>
            <w:vAlign w:val="top"/>
          </w:tcPr>
          <w:p>
            <w:pPr>
              <w:spacing w:before="0" w:after="0" w:line="259" w:lineRule="auto"/>
              <w:ind w:left="0" w:right="105" w:firstLine="0"/>
              <w:jc w:val="center"/>
            </w:pPr>
            <w:r>
              <w:rPr>
                <w:rFonts w:cs="Arial" w:hAnsi="Arial" w:eastAsia="Arial" w:ascii="Arial"/>
                <w:sz w:val="16"/>
              </w:rPr>
              <w:t xml:space="preserve">Year 1 </w:t>
            </w:r>
          </w:p>
        </w:tc>
        <w:tc>
          <w:tcPr>
            <w:tcW w:w="432" w:type="dxa"/>
            <w:tcBorders>
              <w:top w:val="single" w:sz="4" w:color="000000"/>
              <w:left w:val="nil"/>
              <w:bottom w:val="single" w:sz="4" w:color="000000"/>
              <w:right w:val="single" w:sz="4" w:color="000000"/>
            </w:tcBorders>
            <w:shd w:val="clear" w:fill="ffff9a"/>
            <w:vAlign w:val="top"/>
          </w:tcPr>
          <w:p>
            <w:pPr>
              <w:bidi w:val="0"/>
              <w:spacing w:before="0" w:after="160" w:line="259" w:lineRule="auto"/>
              <w:ind w:left="0" w:right="0" w:firstLine="0"/>
              <w:jc w:val="left"/>
            </w:pPr>
          </w:p>
        </w:tc>
        <w:tc>
          <w:tcPr>
            <w:tcW w:w="1731" w:type="dxa"/>
            <w:gridSpan w:val="4"/>
            <w:tcBorders>
              <w:top w:val="single" w:sz="4" w:color="000000"/>
              <w:left w:val="single" w:sz="4" w:color="000000"/>
              <w:bottom w:val="single" w:sz="4" w:color="000000"/>
              <w:right w:val="single" w:sz="4" w:color="000000"/>
            </w:tcBorders>
            <w:shd w:val="clear" w:fill="ffff9a"/>
            <w:vAlign w:val="top"/>
          </w:tcPr>
          <w:p>
            <w:pPr>
              <w:spacing w:before="0" w:after="0" w:line="259" w:lineRule="auto"/>
              <w:ind w:left="0" w:right="102" w:firstLine="0"/>
              <w:jc w:val="center"/>
            </w:pPr>
            <w:r>
              <w:rPr>
                <w:rFonts w:cs="Arial" w:hAnsi="Arial" w:eastAsia="Arial" w:ascii="Arial"/>
                <w:sz w:val="16"/>
              </w:rPr>
              <w:t xml:space="preserve">Year 2 </w:t>
            </w:r>
          </w:p>
        </w:tc>
        <w:tc>
          <w:tcPr>
            <w:tcW w:w="431" w:type="dxa"/>
            <w:tcBorders>
              <w:top w:val="single" w:sz="4" w:color="000000"/>
              <w:left w:val="single" w:sz="4" w:color="000000"/>
              <w:bottom w:val="single" w:sz="4" w:color="000000"/>
              <w:right w:val="nil"/>
            </w:tcBorders>
            <w:shd w:val="clear" w:fill="ffff9a"/>
            <w:vAlign w:val="top"/>
          </w:tcPr>
          <w:p>
            <w:pPr>
              <w:bidi w:val="0"/>
              <w:spacing w:before="0" w:after="160" w:line="259" w:lineRule="auto"/>
              <w:ind w:left="0" w:right="0" w:firstLine="0"/>
              <w:jc w:val="left"/>
            </w:pPr>
          </w:p>
        </w:tc>
        <w:tc>
          <w:tcPr>
            <w:tcW w:w="865" w:type="dxa"/>
            <w:gridSpan w:val="2"/>
            <w:tcBorders>
              <w:top w:val="single" w:sz="4" w:color="000000"/>
              <w:left w:val="nil"/>
              <w:bottom w:val="single" w:sz="4" w:color="000000"/>
              <w:right w:val="nil"/>
            </w:tcBorders>
            <w:shd w:val="clear" w:fill="ffff9a"/>
            <w:vAlign w:val="top"/>
          </w:tcPr>
          <w:p>
            <w:pPr>
              <w:spacing w:before="0" w:after="0" w:line="259" w:lineRule="auto"/>
              <w:ind w:left="0" w:right="83" w:firstLine="0"/>
              <w:jc w:val="center"/>
            </w:pPr>
            <w:r>
              <w:rPr>
                <w:rFonts w:cs="Arial" w:hAnsi="Arial" w:eastAsia="Arial" w:ascii="Arial"/>
                <w:sz w:val="16"/>
              </w:rPr>
              <w:t xml:space="preserve">Year 3</w:t>
            </w:r>
            <w:r>
              <w:rPr>
                <w:rFonts w:cs="Arial" w:hAnsi="Arial" w:eastAsia="Arial" w:ascii="Arial"/>
                <w:sz w:val="18"/>
              </w:rPr>
              <w:t xml:space="preserve"> </w:t>
            </w:r>
          </w:p>
        </w:tc>
        <w:tc>
          <w:tcPr>
            <w:tcW w:w="454" w:type="dxa"/>
            <w:tcBorders>
              <w:top w:val="single" w:sz="4" w:color="000000"/>
              <w:left w:val="nil"/>
              <w:bottom w:val="single" w:sz="4" w:color="000000"/>
              <w:right w:val="single" w:sz="4" w:color="000000"/>
            </w:tcBorders>
            <w:shd w:val="clear" w:fill="ffff9a"/>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nil"/>
            </w:tcBorders>
            <w:vAlign w:val="top"/>
          </w:tcPr>
          <w:p>
            <w:pPr>
              <w:bidi w:val="0"/>
              <w:spacing w:before="0" w:after="160" w:line="259" w:lineRule="auto"/>
              <w:ind w:left="0" w:right="0" w:firstLine="0"/>
              <w:jc w:val="left"/>
            </w:pPr>
          </w:p>
        </w:tc>
        <w:tc>
          <w:tcPr>
            <w:gridSpan w:val="2"/>
            <w:vMerge w:val="continue"/>
            <w:tcBorders>
              <w:top w:val="nil"/>
              <w:left w:val="nil"/>
              <w:bottom w:val="single" w:sz="4" w:color="000000"/>
              <w:right w:val="single" w:sz="4" w:color="000000"/>
            </w:tcBorders>
            <w:vAlign w:val="top"/>
          </w:tcPr>
          <w:p>
            <w:pPr>
              <w:bidi w:val="0"/>
              <w:spacing w:before="0" w:after="160" w:line="259" w:lineRule="auto"/>
              <w:ind w:left="0" w:right="0" w:firstLine="0"/>
              <w:jc w:val="left"/>
            </w:pPr>
          </w:p>
        </w:tc>
      </w:tr>
      <w:tr>
        <w:trPr>
          <w:trHeight w:val="481"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433" w:type="dxa"/>
            <w:tcBorders>
              <w:top w:val="single" w:sz="4" w:color="000000"/>
              <w:left w:val="single" w:sz="4" w:color="000000"/>
              <w:bottom w:val="single" w:sz="4" w:color="000000"/>
              <w:right w:val="single" w:sz="4" w:color="000000"/>
            </w:tcBorders>
            <w:shd w:val="clear" w:fill="ffff9a"/>
            <w:vAlign w:val="top"/>
          </w:tcPr>
          <w:p>
            <w:pPr>
              <w:spacing w:before="0" w:after="0" w:line="259" w:lineRule="auto"/>
              <w:ind w:left="2" w:right="0" w:firstLine="0"/>
              <w:jc w:val="left"/>
            </w:pPr>
            <w:r>
              <w:rPr>
                <w:rFonts w:cs="Arial" w:hAnsi="Arial" w:eastAsia="Arial" w:ascii="Arial"/>
                <w:sz w:val="16"/>
              </w:rPr>
              <w:t xml:space="preserve">Q1 </w:t>
            </w:r>
          </w:p>
        </w:tc>
        <w:tc>
          <w:tcPr>
            <w:tcW w:w="433" w:type="dxa"/>
            <w:tcBorders>
              <w:top w:val="single" w:sz="4" w:color="000000"/>
              <w:left w:val="single" w:sz="4" w:color="000000"/>
              <w:bottom w:val="single" w:sz="4" w:color="000000"/>
              <w:right w:val="single" w:sz="4" w:color="000000"/>
            </w:tcBorders>
            <w:shd w:val="clear" w:fill="ffff9a"/>
            <w:vAlign w:val="top"/>
          </w:tcPr>
          <w:p>
            <w:pPr>
              <w:spacing w:before="0" w:after="0" w:line="259" w:lineRule="auto"/>
              <w:ind w:left="2" w:right="0" w:firstLine="0"/>
              <w:jc w:val="left"/>
            </w:pPr>
            <w:r>
              <w:rPr>
                <w:rFonts w:cs="Arial" w:hAnsi="Arial" w:eastAsia="Arial" w:ascii="Arial"/>
                <w:sz w:val="16"/>
              </w:rPr>
              <w:t xml:space="preserve">Q2 </w:t>
            </w:r>
          </w:p>
        </w:tc>
        <w:tc>
          <w:tcPr>
            <w:tcW w:w="432" w:type="dxa"/>
            <w:tcBorders>
              <w:top w:val="single" w:sz="4" w:color="000000"/>
              <w:left w:val="single" w:sz="4" w:color="000000"/>
              <w:bottom w:val="single" w:sz="4" w:color="000000"/>
              <w:right w:val="single" w:sz="4" w:color="000000"/>
            </w:tcBorders>
            <w:shd w:val="clear" w:fill="ffff9a"/>
            <w:vAlign w:val="top"/>
          </w:tcPr>
          <w:p>
            <w:pPr>
              <w:spacing w:before="0" w:after="0" w:line="259" w:lineRule="auto"/>
              <w:ind w:left="2" w:right="0" w:firstLine="0"/>
              <w:jc w:val="left"/>
            </w:pPr>
            <w:r>
              <w:rPr>
                <w:rFonts w:cs="Arial" w:hAnsi="Arial" w:eastAsia="Arial" w:ascii="Arial"/>
                <w:sz w:val="16"/>
              </w:rPr>
              <w:t xml:space="preserve">Q3 </w:t>
            </w:r>
          </w:p>
        </w:tc>
        <w:tc>
          <w:tcPr>
            <w:tcW w:w="432" w:type="dxa"/>
            <w:tcBorders>
              <w:top w:val="single" w:sz="4" w:color="000000"/>
              <w:left w:val="single" w:sz="4" w:color="000000"/>
              <w:bottom w:val="single" w:sz="4" w:color="000000"/>
              <w:right w:val="single" w:sz="4" w:color="000000"/>
            </w:tcBorders>
            <w:shd w:val="clear" w:fill="ffff9a"/>
            <w:vAlign w:val="top"/>
          </w:tcPr>
          <w:p>
            <w:pPr>
              <w:spacing w:before="0" w:after="0" w:line="259" w:lineRule="auto"/>
              <w:ind w:left="2" w:right="0" w:firstLine="0"/>
              <w:jc w:val="left"/>
            </w:pPr>
            <w:r>
              <w:rPr>
                <w:rFonts w:cs="Arial" w:hAnsi="Arial" w:eastAsia="Arial" w:ascii="Arial"/>
                <w:sz w:val="16"/>
              </w:rPr>
              <w:t xml:space="preserve">Q4 </w:t>
            </w:r>
          </w:p>
        </w:tc>
        <w:tc>
          <w:tcPr>
            <w:tcW w:w="432" w:type="dxa"/>
            <w:tcBorders>
              <w:top w:val="single" w:sz="4" w:color="000000"/>
              <w:left w:val="single" w:sz="4" w:color="000000"/>
              <w:bottom w:val="single" w:sz="4" w:color="000000"/>
              <w:right w:val="single" w:sz="4" w:color="000000"/>
            </w:tcBorders>
            <w:shd w:val="clear" w:fill="ffff9a"/>
            <w:vAlign w:val="top"/>
          </w:tcPr>
          <w:p>
            <w:pPr>
              <w:spacing w:before="0" w:after="0" w:line="259" w:lineRule="auto"/>
              <w:ind w:left="2" w:right="0" w:firstLine="0"/>
              <w:jc w:val="left"/>
            </w:pPr>
            <w:r>
              <w:rPr>
                <w:rFonts w:cs="Arial" w:hAnsi="Arial" w:eastAsia="Arial" w:ascii="Arial"/>
                <w:sz w:val="16"/>
              </w:rPr>
              <w:t xml:space="preserve">Q1 </w:t>
            </w:r>
          </w:p>
        </w:tc>
        <w:tc>
          <w:tcPr>
            <w:tcW w:w="432" w:type="dxa"/>
            <w:tcBorders>
              <w:top w:val="single" w:sz="4" w:color="000000"/>
              <w:left w:val="single" w:sz="4" w:color="000000"/>
              <w:bottom w:val="single" w:sz="4" w:color="000000"/>
              <w:right w:val="single" w:sz="4" w:color="000000"/>
            </w:tcBorders>
            <w:shd w:val="clear" w:fill="ffff9a"/>
            <w:vAlign w:val="top"/>
          </w:tcPr>
          <w:p>
            <w:pPr>
              <w:spacing w:before="0" w:after="0" w:line="259" w:lineRule="auto"/>
              <w:ind w:left="2" w:right="0" w:firstLine="0"/>
              <w:jc w:val="left"/>
            </w:pPr>
            <w:r>
              <w:rPr>
                <w:rFonts w:cs="Arial" w:hAnsi="Arial" w:eastAsia="Arial" w:ascii="Arial"/>
                <w:sz w:val="16"/>
              </w:rPr>
              <w:t xml:space="preserve">Q2 </w:t>
            </w:r>
          </w:p>
        </w:tc>
        <w:tc>
          <w:tcPr>
            <w:tcW w:w="432" w:type="dxa"/>
            <w:tcBorders>
              <w:top w:val="single" w:sz="4" w:color="000000"/>
              <w:left w:val="single" w:sz="4" w:color="000000"/>
              <w:bottom w:val="single" w:sz="4" w:color="000000"/>
              <w:right w:val="single" w:sz="4" w:color="000000"/>
            </w:tcBorders>
            <w:shd w:val="clear" w:fill="ffff9a"/>
            <w:vAlign w:val="top"/>
          </w:tcPr>
          <w:p>
            <w:pPr>
              <w:spacing w:before="0" w:after="0" w:line="259" w:lineRule="auto"/>
              <w:ind w:left="2" w:right="0" w:firstLine="0"/>
              <w:jc w:val="left"/>
            </w:pPr>
            <w:r>
              <w:rPr>
                <w:rFonts w:cs="Arial" w:hAnsi="Arial" w:eastAsia="Arial" w:ascii="Arial"/>
                <w:sz w:val="16"/>
              </w:rPr>
              <w:t xml:space="preserve">Q3 </w:t>
            </w:r>
          </w:p>
        </w:tc>
        <w:tc>
          <w:tcPr>
            <w:tcW w:w="435" w:type="dxa"/>
            <w:tcBorders>
              <w:top w:val="single" w:sz="4" w:color="000000"/>
              <w:left w:val="single" w:sz="4" w:color="000000"/>
              <w:bottom w:val="single" w:sz="4" w:color="000000"/>
              <w:right w:val="single" w:sz="4" w:color="000000"/>
            </w:tcBorders>
            <w:shd w:val="clear" w:fill="ffff9a"/>
            <w:vAlign w:val="top"/>
          </w:tcPr>
          <w:p>
            <w:pPr>
              <w:spacing w:before="0" w:after="0" w:line="259" w:lineRule="auto"/>
              <w:ind w:left="4" w:right="0" w:firstLine="0"/>
              <w:jc w:val="left"/>
            </w:pPr>
            <w:r>
              <w:rPr>
                <w:rFonts w:cs="Arial" w:hAnsi="Arial" w:eastAsia="Arial" w:ascii="Arial"/>
                <w:sz w:val="16"/>
              </w:rPr>
              <w:t xml:space="preserve">Q4 </w:t>
            </w:r>
          </w:p>
        </w:tc>
        <w:tc>
          <w:tcPr>
            <w:tcW w:w="431" w:type="dxa"/>
            <w:tcBorders>
              <w:top w:val="single" w:sz="4" w:color="000000"/>
              <w:left w:val="single" w:sz="4" w:color="000000"/>
              <w:bottom w:val="single" w:sz="4" w:color="000000"/>
              <w:right w:val="single" w:sz="4" w:color="000000"/>
            </w:tcBorders>
            <w:shd w:val="clear" w:fill="ffff9a"/>
            <w:vAlign w:val="top"/>
          </w:tcPr>
          <w:p>
            <w:pPr>
              <w:spacing w:before="0" w:after="0" w:line="259" w:lineRule="auto"/>
              <w:ind w:left="2" w:right="0" w:firstLine="0"/>
              <w:jc w:val="left"/>
            </w:pPr>
            <w:r>
              <w:rPr>
                <w:rFonts w:cs="Arial" w:hAnsi="Arial" w:eastAsia="Arial" w:ascii="Arial"/>
                <w:sz w:val="16"/>
              </w:rPr>
              <w:t xml:space="preserve">Q1 </w:t>
            </w:r>
          </w:p>
        </w:tc>
        <w:tc>
          <w:tcPr>
            <w:tcW w:w="432" w:type="dxa"/>
            <w:tcBorders>
              <w:top w:val="single" w:sz="4" w:color="000000"/>
              <w:left w:val="single" w:sz="4" w:color="000000"/>
              <w:bottom w:val="single" w:sz="4" w:color="000000"/>
              <w:right w:val="single" w:sz="4" w:color="000000"/>
            </w:tcBorders>
            <w:shd w:val="clear" w:fill="ffff9a"/>
            <w:vAlign w:val="top"/>
          </w:tcPr>
          <w:p>
            <w:pPr>
              <w:spacing w:before="0" w:after="0" w:line="259" w:lineRule="auto"/>
              <w:ind w:left="2" w:right="0" w:firstLine="0"/>
              <w:jc w:val="left"/>
            </w:pPr>
            <w:r>
              <w:rPr>
                <w:rFonts w:cs="Arial" w:hAnsi="Arial" w:eastAsia="Arial" w:ascii="Arial"/>
                <w:sz w:val="16"/>
              </w:rPr>
              <w:t xml:space="preserve">Q2 </w:t>
            </w:r>
          </w:p>
        </w:tc>
        <w:tc>
          <w:tcPr>
            <w:tcW w:w="433" w:type="dxa"/>
            <w:tcBorders>
              <w:top w:val="single" w:sz="4" w:color="000000"/>
              <w:left w:val="single" w:sz="4" w:color="000000"/>
              <w:bottom w:val="single" w:sz="4" w:color="000000"/>
              <w:right w:val="single" w:sz="4" w:color="000000"/>
            </w:tcBorders>
            <w:shd w:val="clear" w:fill="ffff9a"/>
            <w:vAlign w:val="top"/>
          </w:tcPr>
          <w:p>
            <w:pPr>
              <w:spacing w:before="0" w:after="0" w:line="259" w:lineRule="auto"/>
              <w:ind w:left="2" w:right="0" w:firstLine="0"/>
              <w:jc w:val="left"/>
            </w:pPr>
            <w:r>
              <w:rPr>
                <w:rFonts w:cs="Arial" w:hAnsi="Arial" w:eastAsia="Arial" w:ascii="Arial"/>
                <w:sz w:val="16"/>
              </w:rPr>
              <w:t xml:space="preserve">Q3 </w:t>
            </w:r>
          </w:p>
        </w:tc>
        <w:tc>
          <w:tcPr>
            <w:tcW w:w="454" w:type="dxa"/>
            <w:tcBorders>
              <w:top w:val="single" w:sz="4" w:color="000000"/>
              <w:left w:val="single" w:sz="4" w:color="000000"/>
              <w:bottom w:val="single" w:sz="4" w:color="000000"/>
              <w:right w:val="single" w:sz="4" w:color="000000"/>
            </w:tcBorders>
            <w:shd w:val="clear" w:fill="ffff9a"/>
            <w:vAlign w:val="top"/>
          </w:tcPr>
          <w:p>
            <w:pPr>
              <w:spacing w:before="0" w:after="0" w:line="259" w:lineRule="auto"/>
              <w:ind w:left="13" w:right="0" w:firstLine="0"/>
              <w:jc w:val="left"/>
            </w:pPr>
            <w:r>
              <w:rPr>
                <w:rFonts w:cs="Arial" w:hAnsi="Arial" w:eastAsia="Arial" w:ascii="Arial"/>
                <w:sz w:val="16"/>
              </w:rPr>
              <w:t xml:space="preserve">Q4 </w:t>
            </w: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060" w:type="dxa"/>
            <w:tcBorders>
              <w:top w:val="single" w:sz="4" w:color="000000"/>
              <w:left w:val="single" w:sz="4" w:color="000000"/>
              <w:bottom w:val="single" w:sz="4" w:color="000000"/>
              <w:right w:val="single" w:sz="4" w:color="000000"/>
            </w:tcBorders>
            <w:shd w:val="clear" w:fill="ffff9a"/>
            <w:vAlign w:val="top"/>
          </w:tcPr>
          <w:p>
            <w:pPr>
              <w:spacing w:before="0" w:after="0" w:line="259" w:lineRule="auto"/>
              <w:ind w:left="0" w:right="0" w:firstLine="0"/>
              <w:jc w:val="center"/>
            </w:pPr>
            <w:r>
              <w:rPr>
                <w:rFonts w:cs="Arial" w:hAnsi="Arial" w:eastAsia="Arial" w:ascii="Arial"/>
                <w:sz w:val="16"/>
              </w:rPr>
              <w:t xml:space="preserve">Funding Source </w:t>
            </w:r>
          </w:p>
        </w:tc>
        <w:tc>
          <w:tcPr>
            <w:tcW w:w="1841" w:type="dxa"/>
            <w:tcBorders>
              <w:top w:val="single" w:sz="4" w:color="000000"/>
              <w:left w:val="single" w:sz="4" w:color="000000"/>
              <w:bottom w:val="single" w:sz="4" w:color="000000"/>
              <w:right w:val="single" w:sz="4" w:color="000000"/>
            </w:tcBorders>
            <w:shd w:val="clear" w:fill="ffff9a"/>
            <w:vAlign w:val="top"/>
          </w:tcPr>
          <w:p>
            <w:pPr>
              <w:spacing w:before="0" w:after="0" w:line="259" w:lineRule="auto"/>
              <w:ind w:left="0" w:right="102" w:firstLine="0"/>
              <w:jc w:val="center"/>
            </w:pPr>
            <w:r>
              <w:rPr>
                <w:rFonts w:cs="Arial" w:hAnsi="Arial" w:eastAsia="Arial" w:ascii="Arial"/>
                <w:sz w:val="16"/>
              </w:rPr>
              <w:t xml:space="preserve">Budget Description </w:t>
            </w:r>
          </w:p>
        </w:tc>
        <w:tc>
          <w:tcPr>
            <w:tcW w:w="1724" w:type="dxa"/>
            <w:tcBorders>
              <w:top w:val="single" w:sz="4" w:color="000000"/>
              <w:left w:val="single" w:sz="4" w:color="000000"/>
              <w:bottom w:val="single" w:sz="4" w:color="000000"/>
              <w:right w:val="single" w:sz="4" w:color="000000"/>
            </w:tcBorders>
            <w:shd w:val="clear" w:fill="ffff9a"/>
            <w:vAlign w:val="top"/>
          </w:tcPr>
          <w:p>
            <w:pPr>
              <w:spacing w:before="0" w:after="0" w:line="259" w:lineRule="auto"/>
              <w:ind w:left="0" w:right="103" w:firstLine="0"/>
              <w:jc w:val="center"/>
            </w:pPr>
            <w:r>
              <w:rPr>
                <w:rFonts w:cs="Arial" w:hAnsi="Arial" w:eastAsia="Arial" w:ascii="Arial"/>
                <w:sz w:val="16"/>
              </w:rPr>
              <w:t xml:space="preserve">Amount in USD </w:t>
            </w:r>
          </w:p>
        </w:tc>
      </w:tr>
      <w:tr>
        <w:trPr>
          <w:trHeight w:val="866" w:hRule="atLeast"/>
        </w:trPr>
        <w:tc>
          <w:tcPr>
            <w:tcW w:w="1242" w:type="dxa"/>
            <w:vMerge w:val="restart"/>
            <w:tcBorders>
              <w:top w:val="single" w:sz="4" w:color="000000"/>
              <w:left w:val="single" w:sz="4" w:color="000000"/>
              <w:bottom w:val="single" w:sz="4" w:color="000000"/>
              <w:right w:val="single" w:sz="4" w:color="000000"/>
            </w:tcBorders>
            <w:vAlign w:val="top"/>
          </w:tcPr>
          <w:p>
            <w:pPr>
              <w:spacing w:before="0" w:after="21" w:line="259" w:lineRule="auto"/>
              <w:ind w:left="0" w:right="0" w:firstLine="0"/>
              <w:jc w:val="left"/>
            </w:pPr>
            <w:r>
              <w:rPr>
                <w:rFonts w:cs="Arial" w:hAnsi="Arial" w:eastAsia="Arial" w:ascii="Arial"/>
                <w:b w:val="1"/>
              </w:rPr>
              <w:t xml:space="preserve">Output 1 </w:t>
            </w:r>
          </w:p>
          <w:p>
            <w:pPr>
              <w:spacing w:before="0" w:after="0" w:line="259" w:lineRule="auto"/>
              <w:ind w:left="0" w:right="0" w:firstLine="0"/>
              <w:jc w:val="left"/>
            </w:pPr>
            <w:r>
              <w:rPr>
                <w:rFonts w:cs="Arial" w:hAnsi="Arial" w:eastAsia="Arial" w:ascii="Arial"/>
                <w:i w:val="1"/>
                <w:sz w:val="20"/>
              </w:rPr>
              <w:t xml:space="preserve">  </w:t>
            </w:r>
          </w:p>
        </w:tc>
        <w:tc>
          <w:tcPr>
            <w:tcW w:w="2710" w:type="dxa"/>
            <w:tcBorders>
              <w:top w:val="single" w:sz="4" w:color="000000"/>
              <w:left w:val="single" w:sz="4" w:color="000000"/>
              <w:bottom w:val="single" w:sz="4" w:color="000000"/>
              <w:right w:val="single" w:sz="4" w:color="000000"/>
            </w:tcBorders>
            <w:vAlign w:val="top"/>
          </w:tcPr>
          <w:p>
            <w:pPr>
              <w:spacing w:before="0" w:after="5" w:line="259" w:lineRule="auto"/>
              <w:ind w:left="8" w:right="0" w:firstLine="0"/>
              <w:jc w:val="left"/>
            </w:pPr>
            <w:r>
              <w:rPr>
                <w:rFonts w:cs="Arial" w:hAnsi="Arial" w:eastAsia="Arial" w:ascii="Arial"/>
                <w:b w:val="1"/>
                <w:sz w:val="20"/>
              </w:rPr>
              <w:t xml:space="preserve">Activity 1.1: </w:t>
            </w:r>
            <w:r>
              <w:rPr/>
              <w:t xml:space="preserve">Creating </w:t>
            </w:r>
          </w:p>
          <w:p>
            <w:pPr>
              <w:spacing w:before="0" w:after="0" w:line="259" w:lineRule="auto"/>
              <w:ind w:left="8" w:right="0" w:firstLine="0"/>
              <w:jc w:val="left"/>
            </w:pPr>
            <w:r>
              <w:rPr/>
              <w:t xml:space="preserve">Vlasina Lake Visual Identity</w:t>
            </w:r>
            <w:r>
              <w:rPr>
                <w:rFonts w:cs="Arial" w:hAnsi="Arial" w:eastAsia="Arial" w:ascii="Arial"/>
                <w:sz w:val="20"/>
              </w:rPr>
              <w:t xml:space="preserve"> </w:t>
            </w:r>
          </w:p>
          <w:p>
            <w:pPr>
              <w:spacing w:before="0" w:after="0" w:line="259" w:lineRule="auto"/>
              <w:ind w:left="137" w:right="0" w:firstLine="0"/>
              <w:jc w:val="left"/>
            </w:pPr>
            <w:r>
              <w:rPr>
                <w:rFonts w:cs="Arial" w:hAnsi="Arial" w:eastAsia="Arial" w:ascii="Arial"/>
                <w:sz w:val="16"/>
              </w:rPr>
              <w:t xml:space="preserve"> </w:t>
            </w:r>
          </w:p>
        </w:tc>
        <w:tc>
          <w:tcPr>
            <w:tcW w:w="433"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5"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1"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54"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1651"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sz w:val="20"/>
              </w:rPr>
              <w:t xml:space="preserve">In-Kind, Coca Cola Systems </w:t>
            </w:r>
          </w:p>
        </w:tc>
        <w:tc>
          <w:tcPr>
            <w:tcW w:w="1060" w:type="dxa"/>
            <w:tcBorders>
              <w:top w:val="single" w:sz="4" w:color="000000"/>
              <w:left w:val="single" w:sz="4" w:color="000000"/>
              <w:bottom w:val="single" w:sz="4" w:color="000000"/>
              <w:right w:val="single" w:sz="4" w:color="000000"/>
            </w:tcBorders>
            <w:vAlign w:val="center"/>
          </w:tcPr>
          <w:p>
            <w:pPr>
              <w:spacing w:before="0" w:after="0" w:line="259" w:lineRule="auto"/>
              <w:ind w:left="0" w:right="102" w:firstLine="0"/>
              <w:jc w:val="center"/>
            </w:pPr>
            <w:r>
              <w:rPr>
                <w:rFonts w:cs="Arial" w:hAnsi="Arial" w:eastAsia="Arial" w:ascii="Arial"/>
                <w:sz w:val="20"/>
              </w:rPr>
              <w:t xml:space="preserve">In-kind </w:t>
            </w:r>
          </w:p>
        </w:tc>
        <w:tc>
          <w:tcPr>
            <w:tcW w:w="1841" w:type="dxa"/>
            <w:tcBorders>
              <w:top w:val="single" w:sz="4" w:color="000000"/>
              <w:left w:val="single" w:sz="4" w:color="000000"/>
              <w:bottom w:val="single" w:sz="4" w:color="000000"/>
              <w:right w:val="single" w:sz="4" w:color="000000"/>
            </w:tcBorders>
            <w:vAlign w:val="center"/>
          </w:tcPr>
          <w:p>
            <w:pPr>
              <w:spacing w:before="0" w:after="0" w:line="259" w:lineRule="auto"/>
              <w:ind w:left="0" w:right="102" w:firstLine="0"/>
              <w:jc w:val="center"/>
            </w:pPr>
            <w:r>
              <w:rPr>
                <w:rFonts w:cs="Arial" w:hAnsi="Arial" w:eastAsia="Arial" w:ascii="Arial"/>
                <w:sz w:val="18"/>
              </w:rPr>
              <w:t xml:space="preserve">N/A </w:t>
            </w:r>
          </w:p>
        </w:tc>
        <w:tc>
          <w:tcPr>
            <w:tcW w:w="1724" w:type="dxa"/>
            <w:tcBorders>
              <w:top w:val="single" w:sz="4" w:color="000000"/>
              <w:left w:val="single" w:sz="4" w:color="000000"/>
              <w:bottom w:val="single" w:sz="4" w:color="000000"/>
              <w:right w:val="single" w:sz="4" w:color="000000"/>
            </w:tcBorders>
            <w:vAlign w:val="center"/>
          </w:tcPr>
          <w:p>
            <w:pPr>
              <w:spacing w:before="0" w:after="0" w:line="259" w:lineRule="auto"/>
              <w:ind w:left="0" w:right="100" w:firstLine="0"/>
              <w:jc w:val="center"/>
            </w:pPr>
            <w:r>
              <w:rPr>
                <w:rFonts w:cs="Arial" w:hAnsi="Arial" w:eastAsia="Arial" w:ascii="Arial"/>
                <w:sz w:val="18"/>
              </w:rPr>
              <w:t xml:space="preserve">N/A </w:t>
            </w:r>
          </w:p>
        </w:tc>
      </w:tr>
      <w:tr>
        <w:trPr>
          <w:trHeight w:val="1398"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710" w:type="dxa"/>
            <w:tcBorders>
              <w:top w:val="single" w:sz="4" w:color="000000"/>
              <w:left w:val="single" w:sz="4" w:color="000000"/>
              <w:bottom w:val="single" w:sz="4" w:color="000000"/>
              <w:right w:val="single" w:sz="4" w:color="000000"/>
            </w:tcBorders>
            <w:vAlign w:val="top"/>
          </w:tcPr>
          <w:p>
            <w:pPr>
              <w:spacing w:before="0" w:after="0" w:line="259" w:lineRule="auto"/>
              <w:ind w:left="8" w:right="0" w:firstLine="0"/>
              <w:jc w:val="left"/>
            </w:pPr>
            <w:r>
              <w:rPr>
                <w:rFonts w:cs="Arial" w:hAnsi="Arial" w:eastAsia="Arial" w:ascii="Arial"/>
                <w:b w:val="1"/>
                <w:sz w:val="20"/>
              </w:rPr>
              <w:t xml:space="preserve">Activity 1.2:</w:t>
            </w:r>
            <w:r>
              <w:rPr>
                <w:rFonts w:cs="Arial" w:hAnsi="Arial" w:eastAsia="Arial" w:ascii="Arial"/>
                <w:sz w:val="20"/>
              </w:rPr>
              <w:t xml:space="preserve"> </w:t>
            </w:r>
            <w:r>
              <w:rPr/>
              <w:t xml:space="preserve">Creating </w:t>
            </w:r>
          </w:p>
          <w:p>
            <w:pPr>
              <w:spacing w:before="0" w:after="2" w:line="259" w:lineRule="auto"/>
              <w:ind w:left="8" w:right="0" w:firstLine="0"/>
              <w:jc w:val="left"/>
            </w:pPr>
            <w:r>
              <w:rPr/>
              <w:t xml:space="preserve">Promotional and </w:t>
            </w:r>
          </w:p>
          <w:p>
            <w:pPr>
              <w:spacing w:before="0" w:after="0" w:line="259" w:lineRule="auto"/>
              <w:ind w:left="8" w:right="0" w:firstLine="0"/>
              <w:jc w:val="left"/>
            </w:pPr>
            <w:r>
              <w:rPr/>
              <w:t xml:space="preserve">Educational Materials</w:t>
            </w:r>
            <w:r>
              <w:rPr>
                <w:rFonts w:cs="Arial" w:hAnsi="Arial" w:eastAsia="Arial" w:ascii="Arial"/>
                <w:sz w:val="20"/>
              </w:rPr>
              <w:t xml:space="preserve"> </w:t>
            </w:r>
            <w:r>
              <w:rPr>
                <w:rFonts w:cs="Arial" w:hAnsi="Arial" w:eastAsia="Arial" w:ascii="Arial"/>
                <w:i w:val="1"/>
                <w:sz w:val="20"/>
              </w:rPr>
              <w:t xml:space="preserve"> </w:t>
            </w:r>
          </w:p>
        </w:tc>
        <w:tc>
          <w:tcPr>
            <w:tcW w:w="433"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5"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1"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54"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1651"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RDA </w:t>
            </w:r>
          </w:p>
          <w:p>
            <w:pPr>
              <w:spacing w:before="0" w:after="40" w:line="259" w:lineRule="auto"/>
              <w:ind w:left="1" w:right="0" w:firstLine="0"/>
              <w:jc w:val="left"/>
            </w:pPr>
            <w:r>
              <w:rPr>
                <w:rFonts w:cs="Arial" w:hAnsi="Arial" w:eastAsia="Arial" w:ascii="Arial"/>
              </w:rPr>
              <w:t xml:space="preserve">Leskovac </w:t>
            </w:r>
          </w:p>
          <w:p>
            <w:pPr>
              <w:spacing w:before="0" w:after="0" w:line="259" w:lineRule="auto"/>
              <w:ind w:left="1" w:right="0" w:firstLine="0"/>
              <w:jc w:val="left"/>
            </w:pPr>
            <w:r>
              <w:rPr>
                <w:rFonts w:cs="Arial" w:hAnsi="Arial" w:eastAsia="Arial" w:ascii="Arial"/>
              </w:rPr>
              <w:t xml:space="preserve">UNDP </w:t>
            </w:r>
          </w:p>
        </w:tc>
        <w:tc>
          <w:tcPr>
            <w:tcW w:w="1060"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1841" w:type="dxa"/>
            <w:tcBorders>
              <w:top w:val="single" w:sz="4" w:color="000000"/>
              <w:left w:val="single" w:sz="4" w:color="000000"/>
              <w:bottom w:val="single" w:sz="4" w:color="000000"/>
              <w:right w:val="single" w:sz="4" w:color="000000"/>
            </w:tcBorders>
            <w:vAlign w:val="top"/>
          </w:tcPr>
          <w:p>
            <w:pPr>
              <w:spacing w:before="0" w:after="44" w:line="259" w:lineRule="auto"/>
              <w:ind w:left="1" w:right="0" w:firstLine="0"/>
              <w:jc w:val="left"/>
            </w:pPr>
            <w:r>
              <w:rPr>
                <w:rFonts w:cs="Arial" w:hAnsi="Arial" w:eastAsia="Arial" w:ascii="Arial"/>
                <w:sz w:val="18"/>
              </w:rPr>
              <w:t xml:space="preserve">Project Coordinator </w:t>
            </w:r>
          </w:p>
          <w:p>
            <w:pPr>
              <w:spacing w:before="0" w:after="43" w:line="259" w:lineRule="auto"/>
              <w:ind w:left="1" w:right="0" w:firstLine="0"/>
              <w:jc w:val="left"/>
            </w:pPr>
            <w:r>
              <w:rPr>
                <w:rFonts w:cs="Arial" w:hAnsi="Arial" w:eastAsia="Arial" w:ascii="Arial"/>
                <w:sz w:val="18"/>
              </w:rPr>
              <w:t xml:space="preserve">Promotion materials </w:t>
            </w:r>
          </w:p>
          <w:p>
            <w:pPr>
              <w:spacing w:before="0" w:after="43" w:line="259" w:lineRule="auto"/>
              <w:ind w:left="1" w:right="0" w:firstLine="0"/>
              <w:jc w:val="left"/>
            </w:pPr>
            <w:r>
              <w:rPr>
                <w:rFonts w:cs="Arial" w:hAnsi="Arial" w:eastAsia="Arial" w:ascii="Arial"/>
                <w:sz w:val="18"/>
              </w:rPr>
              <w:t xml:space="preserve">GMS (7%) </w:t>
            </w:r>
          </w:p>
          <w:p>
            <w:pPr>
              <w:spacing w:before="0" w:after="0" w:line="259" w:lineRule="auto"/>
              <w:ind w:left="1" w:right="0" w:firstLine="0"/>
              <w:jc w:val="left"/>
            </w:pPr>
            <w:r>
              <w:rPr>
                <w:rFonts w:cs="Arial" w:hAnsi="Arial" w:eastAsia="Arial" w:ascii="Arial"/>
                <w:b w:val="1"/>
                <w:sz w:val="18"/>
              </w:rPr>
              <w:t xml:space="preserve">Total: </w:t>
            </w:r>
          </w:p>
        </w:tc>
        <w:tc>
          <w:tcPr>
            <w:tcW w:w="1724" w:type="dxa"/>
            <w:tcBorders>
              <w:top w:val="single" w:sz="4" w:color="000000"/>
              <w:left w:val="single" w:sz="4" w:color="000000"/>
              <w:bottom w:val="single" w:sz="4" w:color="000000"/>
              <w:right w:val="single" w:sz="4" w:color="000000"/>
            </w:tcBorders>
            <w:vAlign w:val="top"/>
          </w:tcPr>
          <w:p>
            <w:pPr>
              <w:spacing w:before="0" w:after="44" w:line="259" w:lineRule="auto"/>
              <w:ind w:left="0" w:right="103" w:firstLine="0"/>
              <w:jc w:val="right"/>
            </w:pPr>
            <w:r>
              <w:rPr>
                <w:rFonts w:cs="Arial" w:hAnsi="Arial" w:eastAsia="Arial" w:ascii="Arial"/>
                <w:sz w:val="18"/>
              </w:rPr>
              <w:t xml:space="preserve">5,000 </w:t>
            </w:r>
          </w:p>
          <w:p>
            <w:pPr>
              <w:spacing w:before="0" w:after="0" w:line="309" w:lineRule="auto"/>
              <w:ind w:left="1212" w:right="0" w:hanging="151"/>
              <w:jc w:val="left"/>
            </w:pPr>
            <w:r>
              <w:rPr>
                <w:rFonts w:cs="Arial" w:hAnsi="Arial" w:eastAsia="Arial" w:ascii="Arial"/>
                <w:sz w:val="18"/>
              </w:rPr>
              <w:t xml:space="preserve">8,584 601  </w:t>
            </w:r>
          </w:p>
          <w:p>
            <w:pPr>
              <w:spacing w:before="0" w:after="0" w:line="259" w:lineRule="auto"/>
              <w:ind w:left="0" w:right="103" w:firstLine="0"/>
              <w:jc w:val="right"/>
            </w:pPr>
            <w:r>
              <w:rPr>
                <w:rFonts w:cs="Arial" w:hAnsi="Arial" w:eastAsia="Arial" w:ascii="Arial"/>
                <w:b w:val="1"/>
                <w:sz w:val="18"/>
              </w:rPr>
              <w:t xml:space="preserve">14,185 </w:t>
            </w:r>
          </w:p>
        </w:tc>
      </w:tr>
      <w:tr>
        <w:trPr>
          <w:trHeight w:val="1193"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710" w:type="dxa"/>
            <w:tcBorders>
              <w:top w:val="single" w:sz="4" w:color="000000"/>
              <w:left w:val="single" w:sz="4" w:color="000000"/>
              <w:bottom w:val="single" w:sz="4" w:color="000000"/>
              <w:right w:val="single" w:sz="4" w:color="000000"/>
            </w:tcBorders>
            <w:vAlign w:val="top"/>
          </w:tcPr>
          <w:p>
            <w:pPr>
              <w:spacing w:before="0" w:after="0" w:line="259" w:lineRule="auto"/>
              <w:ind w:left="8" w:right="0" w:firstLine="0"/>
            </w:pPr>
            <w:r>
              <w:rPr>
                <w:rFonts w:cs="Arial" w:hAnsi="Arial" w:eastAsia="Arial" w:ascii="Arial"/>
                <w:b w:val="1"/>
                <w:sz w:val="20"/>
              </w:rPr>
              <w:t xml:space="preserve">Activity 1.3:</w:t>
            </w:r>
            <w:r>
              <w:rPr>
                <w:rFonts w:cs="Arial" w:hAnsi="Arial" w:eastAsia="Arial" w:ascii="Arial"/>
                <w:sz w:val="20"/>
              </w:rPr>
              <w:t xml:space="preserve"> </w:t>
            </w:r>
            <w:r>
              <w:rPr/>
              <w:t xml:space="preserve">Production of the “Visit Vlasina” Website</w:t>
            </w:r>
            <w:r>
              <w:rPr>
                <w:rFonts w:cs="Arial" w:hAnsi="Arial" w:eastAsia="Arial" w:ascii="Arial"/>
                <w:sz w:val="20"/>
              </w:rPr>
              <w:t xml:space="preserve"> </w:t>
            </w:r>
          </w:p>
        </w:tc>
        <w:tc>
          <w:tcPr>
            <w:tcW w:w="433"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5"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1"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54"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1651"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RDA </w:t>
            </w:r>
          </w:p>
          <w:p>
            <w:pPr>
              <w:spacing w:before="0" w:after="40" w:line="259" w:lineRule="auto"/>
              <w:ind w:left="1" w:right="0" w:firstLine="0"/>
              <w:jc w:val="left"/>
            </w:pPr>
            <w:r>
              <w:rPr>
                <w:rFonts w:cs="Arial" w:hAnsi="Arial" w:eastAsia="Arial" w:ascii="Arial"/>
              </w:rPr>
              <w:t xml:space="preserve">Leskovac </w:t>
            </w:r>
          </w:p>
          <w:p>
            <w:pPr>
              <w:spacing w:before="0" w:after="0" w:line="259" w:lineRule="auto"/>
              <w:ind w:left="1" w:right="0" w:firstLine="0"/>
              <w:jc w:val="left"/>
            </w:pPr>
            <w:r>
              <w:rPr>
                <w:rFonts w:cs="Arial" w:hAnsi="Arial" w:eastAsia="Arial" w:ascii="Arial"/>
              </w:rPr>
              <w:t xml:space="preserve">UNDP </w:t>
            </w:r>
          </w:p>
        </w:tc>
        <w:tc>
          <w:tcPr>
            <w:tcW w:w="1060"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1841" w:type="dxa"/>
            <w:tcBorders>
              <w:top w:val="single" w:sz="4" w:color="000000"/>
              <w:left w:val="single" w:sz="4" w:color="000000"/>
              <w:bottom w:val="single" w:sz="4" w:color="000000"/>
              <w:right w:val="single" w:sz="4" w:color="000000"/>
            </w:tcBorders>
            <w:vAlign w:val="top"/>
          </w:tcPr>
          <w:p>
            <w:pPr>
              <w:spacing w:before="0" w:after="44" w:line="259" w:lineRule="auto"/>
              <w:ind w:left="1" w:right="0" w:firstLine="0"/>
              <w:jc w:val="left"/>
            </w:pPr>
            <w:r>
              <w:rPr>
                <w:rFonts w:cs="Arial" w:hAnsi="Arial" w:eastAsia="Arial" w:ascii="Arial"/>
                <w:sz w:val="18"/>
              </w:rPr>
              <w:t xml:space="preserve">Project Coordinator </w:t>
            </w:r>
          </w:p>
          <w:p>
            <w:pPr>
              <w:spacing w:before="0" w:after="0" w:line="309" w:lineRule="auto"/>
              <w:ind w:left="1" w:right="568" w:firstLine="0"/>
              <w:jc w:val="left"/>
            </w:pPr>
            <w:r>
              <w:rPr>
                <w:rFonts w:cs="Arial" w:hAnsi="Arial" w:eastAsia="Arial" w:ascii="Arial"/>
                <w:sz w:val="18"/>
              </w:rPr>
              <w:t xml:space="preserve">Web site GMS (7%) </w:t>
            </w:r>
          </w:p>
          <w:p>
            <w:pPr>
              <w:spacing w:before="0" w:after="0" w:line="259" w:lineRule="auto"/>
              <w:ind w:left="1" w:right="0" w:firstLine="0"/>
              <w:jc w:val="left"/>
            </w:pPr>
            <w:r>
              <w:rPr>
                <w:rFonts w:cs="Arial" w:hAnsi="Arial" w:eastAsia="Arial" w:ascii="Arial"/>
                <w:b w:val="1"/>
                <w:sz w:val="18"/>
              </w:rPr>
              <w:t xml:space="preserve">Total: </w:t>
            </w:r>
          </w:p>
        </w:tc>
        <w:tc>
          <w:tcPr>
            <w:tcW w:w="1724" w:type="dxa"/>
            <w:tcBorders>
              <w:top w:val="single" w:sz="4" w:color="000000"/>
              <w:left w:val="single" w:sz="4" w:color="000000"/>
              <w:bottom w:val="single" w:sz="4" w:color="000000"/>
              <w:right w:val="single" w:sz="4" w:color="000000"/>
            </w:tcBorders>
            <w:vAlign w:val="top"/>
          </w:tcPr>
          <w:p>
            <w:pPr>
              <w:spacing w:before="0" w:after="44" w:line="259" w:lineRule="auto"/>
              <w:ind w:left="0" w:right="103" w:firstLine="0"/>
              <w:jc w:val="right"/>
            </w:pPr>
            <w:r>
              <w:rPr>
                <w:rFonts w:cs="Arial" w:hAnsi="Arial" w:eastAsia="Arial" w:ascii="Arial"/>
                <w:sz w:val="18"/>
              </w:rPr>
              <w:t xml:space="preserve">5,000 </w:t>
            </w:r>
          </w:p>
          <w:p>
            <w:pPr>
              <w:spacing w:before="0" w:after="0" w:line="259" w:lineRule="auto"/>
              <w:ind w:left="960" w:right="0" w:firstLine="0"/>
              <w:jc w:val="left"/>
            </w:pPr>
            <w:r>
              <w:rPr>
                <w:rFonts w:cs="Arial" w:hAnsi="Arial" w:eastAsia="Arial" w:ascii="Arial"/>
                <w:sz w:val="18"/>
              </w:rPr>
              <w:t xml:space="preserve">14,306 </w:t>
            </w:r>
            <w:r>
              <w:rPr>
                <w:rFonts w:cs="Arial" w:hAnsi="Arial" w:eastAsia="Arial" w:ascii="Arial"/>
                <w:sz w:val="18"/>
              </w:rPr>
              <w:t xml:space="preserve"> 1,001 </w:t>
            </w:r>
            <w:r>
              <w:rPr>
                <w:rFonts w:cs="Arial" w:hAnsi="Arial" w:eastAsia="Arial" w:ascii="Arial"/>
                <w:b w:val="1"/>
                <w:sz w:val="18"/>
              </w:rPr>
              <w:t xml:space="preserve">20,307 </w:t>
            </w:r>
          </w:p>
        </w:tc>
      </w:tr>
      <w:tr>
        <w:trPr>
          <w:trHeight w:val="1460"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710" w:type="dxa"/>
            <w:tcBorders>
              <w:top w:val="single" w:sz="4" w:color="000000"/>
              <w:left w:val="single" w:sz="4" w:color="000000"/>
              <w:bottom w:val="single" w:sz="4" w:color="000000"/>
              <w:right w:val="single" w:sz="4" w:color="000000"/>
            </w:tcBorders>
            <w:vAlign w:val="top"/>
          </w:tcPr>
          <w:p>
            <w:pPr>
              <w:spacing w:before="0" w:after="0" w:line="250" w:lineRule="auto"/>
              <w:ind w:left="8" w:right="0" w:firstLine="0"/>
            </w:pPr>
            <w:r>
              <w:rPr>
                <w:rFonts w:cs="Arial" w:hAnsi="Arial" w:eastAsia="Arial" w:ascii="Arial"/>
                <w:b w:val="1"/>
                <w:sz w:val="20"/>
              </w:rPr>
              <w:t xml:space="preserve">Activity 1.4:</w:t>
            </w:r>
            <w:r>
              <w:rPr>
                <w:rFonts w:cs="Arial" w:hAnsi="Arial" w:eastAsia="Arial" w:ascii="Arial"/>
                <w:sz w:val="20"/>
              </w:rPr>
              <w:t xml:space="preserve"> </w:t>
            </w:r>
            <w:r>
              <w:rPr/>
              <w:t xml:space="preserve">Construction of the</w:t>
            </w:r>
            <w:r>
              <w:rPr>
                <w:rFonts w:cs="Calibri" w:hAnsi="Calibri" w:eastAsia="Calibri" w:ascii="Calibri"/>
                <w:b w:val="1"/>
              </w:rPr>
              <w:t xml:space="preserve"> </w:t>
            </w:r>
            <w:r>
              <w:rPr/>
              <w:t xml:space="preserve">Road Signs and </w:t>
            </w:r>
          </w:p>
          <w:p>
            <w:pPr>
              <w:spacing w:before="0" w:after="0" w:line="259" w:lineRule="auto"/>
              <w:ind w:left="8" w:right="0" w:firstLine="0"/>
              <w:jc w:val="left"/>
            </w:pPr>
            <w:r>
              <w:rPr/>
              <w:t xml:space="preserve">bilbosards for Vlasina Lake</w:t>
            </w:r>
            <w:r>
              <w:rPr>
                <w:rFonts w:cs="Arial" w:hAnsi="Arial" w:eastAsia="Arial" w:ascii="Arial"/>
                <w:sz w:val="20"/>
              </w:rPr>
              <w:t xml:space="preserve"> </w:t>
            </w:r>
          </w:p>
          <w:p>
            <w:pPr>
              <w:spacing w:before="0" w:after="0" w:line="259" w:lineRule="auto"/>
              <w:ind w:left="137" w:right="0" w:firstLine="0"/>
              <w:jc w:val="left"/>
            </w:pPr>
            <w:r>
              <w:rPr>
                <w:rFonts w:cs="Arial" w:hAnsi="Arial" w:eastAsia="Arial" w:ascii="Arial"/>
                <w:sz w:val="20"/>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5"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1"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54"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1651"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RDA </w:t>
            </w:r>
          </w:p>
          <w:p>
            <w:pPr>
              <w:spacing w:before="0" w:after="40" w:line="259" w:lineRule="auto"/>
              <w:ind w:left="1" w:right="0" w:firstLine="0"/>
              <w:jc w:val="left"/>
            </w:pPr>
            <w:r>
              <w:rPr>
                <w:rFonts w:cs="Arial" w:hAnsi="Arial" w:eastAsia="Arial" w:ascii="Arial"/>
              </w:rPr>
              <w:t xml:space="preserve">Leskovac </w:t>
            </w:r>
          </w:p>
          <w:p>
            <w:pPr>
              <w:spacing w:before="0" w:after="0" w:line="259" w:lineRule="auto"/>
              <w:ind w:left="1" w:right="0" w:firstLine="0"/>
              <w:jc w:val="left"/>
            </w:pPr>
            <w:r>
              <w:rPr>
                <w:rFonts w:cs="Arial" w:hAnsi="Arial" w:eastAsia="Arial" w:ascii="Arial"/>
              </w:rPr>
              <w:t xml:space="preserve">UNDP </w:t>
            </w:r>
          </w:p>
        </w:tc>
        <w:tc>
          <w:tcPr>
            <w:tcW w:w="1060"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1841" w:type="dxa"/>
            <w:tcBorders>
              <w:top w:val="single" w:sz="4" w:color="000000"/>
              <w:left w:val="single" w:sz="4" w:color="000000"/>
              <w:bottom w:val="single" w:sz="4" w:color="000000"/>
              <w:right w:val="single" w:sz="4" w:color="000000"/>
            </w:tcBorders>
            <w:vAlign w:val="top"/>
          </w:tcPr>
          <w:p>
            <w:pPr>
              <w:spacing w:before="0" w:after="0" w:line="310" w:lineRule="auto"/>
              <w:ind w:left="1" w:right="0" w:firstLine="0"/>
            </w:pPr>
            <w:r>
              <w:rPr>
                <w:rFonts w:cs="Arial" w:hAnsi="Arial" w:eastAsia="Arial" w:ascii="Arial"/>
                <w:sz w:val="18"/>
              </w:rPr>
              <w:t xml:space="preserve">Project Coordinator Bilboards and Road </w:t>
            </w:r>
          </w:p>
          <w:p>
            <w:pPr>
              <w:spacing w:before="0" w:after="44" w:line="259" w:lineRule="auto"/>
              <w:ind w:left="1" w:right="0" w:firstLine="0"/>
              <w:jc w:val="left"/>
            </w:pPr>
            <w:r>
              <w:rPr>
                <w:rFonts w:cs="Arial" w:hAnsi="Arial" w:eastAsia="Arial" w:ascii="Arial"/>
                <w:sz w:val="18"/>
              </w:rPr>
              <w:t xml:space="preserve">Signs </w:t>
            </w:r>
          </w:p>
          <w:p>
            <w:pPr>
              <w:spacing w:before="0" w:after="42" w:line="259" w:lineRule="auto"/>
              <w:ind w:left="1" w:right="0" w:firstLine="0"/>
              <w:jc w:val="left"/>
            </w:pPr>
            <w:r>
              <w:rPr>
                <w:rFonts w:cs="Arial" w:hAnsi="Arial" w:eastAsia="Arial" w:ascii="Arial"/>
                <w:sz w:val="18"/>
              </w:rPr>
              <w:t xml:space="preserve">GMS (7%) </w:t>
            </w:r>
          </w:p>
          <w:p>
            <w:pPr>
              <w:spacing w:before="0" w:after="0" w:line="259" w:lineRule="auto"/>
              <w:ind w:left="1" w:right="0" w:firstLine="0"/>
              <w:jc w:val="left"/>
            </w:pPr>
            <w:r>
              <w:rPr>
                <w:rFonts w:cs="Arial" w:hAnsi="Arial" w:eastAsia="Arial" w:ascii="Arial"/>
                <w:b w:val="1"/>
                <w:sz w:val="18"/>
              </w:rPr>
              <w:t xml:space="preserve">Total: </w:t>
            </w:r>
          </w:p>
        </w:tc>
        <w:tc>
          <w:tcPr>
            <w:tcW w:w="1724" w:type="dxa"/>
            <w:tcBorders>
              <w:top w:val="single" w:sz="4" w:color="000000"/>
              <w:left w:val="single" w:sz="4" w:color="000000"/>
              <w:bottom w:val="single" w:sz="4" w:color="000000"/>
              <w:right w:val="single" w:sz="4" w:color="000000"/>
            </w:tcBorders>
            <w:vAlign w:val="top"/>
          </w:tcPr>
          <w:p>
            <w:pPr>
              <w:spacing w:before="0" w:after="44" w:line="259" w:lineRule="auto"/>
              <w:ind w:left="0" w:right="103" w:firstLine="0"/>
              <w:jc w:val="right"/>
            </w:pPr>
            <w:r>
              <w:rPr>
                <w:rFonts w:cs="Arial" w:hAnsi="Arial" w:eastAsia="Arial" w:ascii="Arial"/>
                <w:sz w:val="18"/>
              </w:rPr>
              <w:t xml:space="preserve">5,000 </w:t>
            </w:r>
          </w:p>
          <w:p>
            <w:pPr>
              <w:spacing w:before="0" w:after="43" w:line="259" w:lineRule="auto"/>
              <w:ind w:left="0" w:right="52" w:firstLine="0"/>
              <w:jc w:val="right"/>
            </w:pPr>
            <w:r>
              <w:rPr>
                <w:rFonts w:cs="Arial" w:hAnsi="Arial" w:eastAsia="Arial" w:ascii="Arial"/>
                <w:sz w:val="18"/>
              </w:rPr>
              <w:t xml:space="preserve"> </w:t>
            </w:r>
          </w:p>
          <w:p>
            <w:pPr>
              <w:spacing w:before="0" w:after="0" w:line="259" w:lineRule="auto"/>
              <w:ind w:left="960" w:right="0" w:firstLine="0"/>
              <w:jc w:val="left"/>
            </w:pPr>
            <w:r>
              <w:rPr>
                <w:rFonts w:cs="Arial" w:hAnsi="Arial" w:eastAsia="Arial" w:ascii="Arial"/>
                <w:sz w:val="18"/>
              </w:rPr>
              <w:t xml:space="preserve">14,306 </w:t>
            </w:r>
            <w:r>
              <w:rPr>
                <w:rFonts w:cs="Arial" w:hAnsi="Arial" w:eastAsia="Arial" w:ascii="Arial"/>
                <w:sz w:val="18"/>
              </w:rPr>
              <w:t xml:space="preserve"> 1,001 </w:t>
            </w:r>
            <w:r>
              <w:rPr>
                <w:rFonts w:cs="Arial" w:hAnsi="Arial" w:eastAsia="Arial" w:ascii="Arial"/>
                <w:b w:val="1"/>
                <w:sz w:val="18"/>
              </w:rPr>
              <w:t xml:space="preserve">20,307 </w:t>
            </w:r>
          </w:p>
        </w:tc>
      </w:tr>
      <w:tr>
        <w:trPr>
          <w:trHeight w:val="1682" w:hRule="atLeast"/>
        </w:trPr>
        <w:tc>
          <w:tcPr>
            <w:tcW w:w="1242" w:type="dxa"/>
            <w:tcBorders>
              <w:top w:val="single" w:sz="4" w:color="000000"/>
              <w:left w:val="single" w:sz="4" w:color="000000"/>
              <w:bottom w:val="single" w:sz="4" w:color="000000"/>
              <w:right w:val="single" w:sz="4" w:color="000000"/>
            </w:tcBorders>
            <w:vAlign w:val="top"/>
          </w:tcPr>
          <w:p>
            <w:pPr>
              <w:spacing w:before="0" w:after="21" w:line="259" w:lineRule="auto"/>
              <w:ind w:left="0" w:right="0" w:firstLine="0"/>
              <w:jc w:val="left"/>
            </w:pPr>
            <w:r>
              <w:rPr>
                <w:rFonts w:cs="Arial" w:hAnsi="Arial" w:eastAsia="Arial" w:ascii="Arial"/>
                <w:b w:val="1"/>
              </w:rPr>
              <w:t xml:space="preserve">Output 2 </w:t>
            </w:r>
          </w:p>
          <w:p>
            <w:pPr>
              <w:spacing w:before="0" w:after="0" w:line="259" w:lineRule="auto"/>
              <w:ind w:left="0" w:right="0" w:firstLine="0"/>
              <w:jc w:val="left"/>
            </w:pPr>
            <w:r>
              <w:rPr>
                <w:rFonts w:cs="Arial" w:hAnsi="Arial" w:eastAsia="Arial" w:ascii="Arial"/>
                <w:i w:val="1"/>
                <w:sz w:val="20"/>
              </w:rPr>
              <w:t xml:space="preserve">  </w:t>
            </w:r>
          </w:p>
        </w:tc>
        <w:tc>
          <w:tcPr>
            <w:tcW w:w="2710" w:type="dxa"/>
            <w:tcBorders>
              <w:top w:val="single" w:sz="4" w:color="000000"/>
              <w:left w:val="single" w:sz="4" w:color="000000"/>
              <w:bottom w:val="single" w:sz="4" w:color="000000"/>
              <w:right w:val="single" w:sz="4" w:color="000000"/>
            </w:tcBorders>
            <w:vAlign w:val="top"/>
          </w:tcPr>
          <w:p>
            <w:pPr>
              <w:spacing w:before="0" w:after="25" w:line="249" w:lineRule="auto"/>
              <w:ind w:left="8" w:right="0" w:firstLine="0"/>
            </w:pPr>
            <w:r>
              <w:rPr>
                <w:rFonts w:cs="Arial" w:hAnsi="Arial" w:eastAsia="Arial" w:ascii="Arial"/>
                <w:b w:val="1"/>
                <w:sz w:val="20"/>
              </w:rPr>
              <w:t xml:space="preserve">Activity 2.1:</w:t>
            </w:r>
            <w:r>
              <w:rPr>
                <w:rFonts w:cs="Arial" w:hAnsi="Arial" w:eastAsia="Arial" w:ascii="Arial"/>
                <w:sz w:val="20"/>
              </w:rPr>
              <w:t xml:space="preserve"> </w:t>
            </w:r>
            <w:r>
              <w:rPr/>
              <w:t xml:space="preserve">Organisation of two conferences</w:t>
            </w:r>
            <w:r>
              <w:rPr>
                <w:rFonts w:cs="Calibri" w:hAnsi="Calibri" w:eastAsia="Calibri" w:ascii="Calibri"/>
                <w:b w:val="1"/>
              </w:rPr>
              <w:t xml:space="preserve"> </w:t>
            </w:r>
          </w:p>
          <w:p>
            <w:pPr>
              <w:spacing w:before="0" w:after="2" w:line="259" w:lineRule="auto"/>
              <w:ind w:left="8" w:right="0" w:firstLine="0"/>
              <w:jc w:val="left"/>
            </w:pPr>
            <w:r>
              <w:rPr>
                <w:rFonts w:cs="Arial" w:hAnsi="Arial" w:eastAsia="Arial" w:ascii="Arial"/>
                <w:b w:val="1"/>
                <w:sz w:val="20"/>
              </w:rPr>
              <w:t xml:space="preserve"> </w:t>
            </w:r>
          </w:p>
          <w:p>
            <w:pPr>
              <w:spacing w:before="0" w:after="0" w:line="259" w:lineRule="auto"/>
              <w:ind w:left="137" w:right="0" w:firstLine="0"/>
              <w:jc w:val="left"/>
            </w:pPr>
            <w:r>
              <w:rPr>
                <w:rFonts w:cs="Arial" w:hAnsi="Arial" w:eastAsia="Arial" w:ascii="Arial"/>
                <w:sz w:val="16"/>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5"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1"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54"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1651"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RDA </w:t>
            </w:r>
          </w:p>
          <w:p>
            <w:pPr>
              <w:spacing w:before="0" w:after="40" w:line="259" w:lineRule="auto"/>
              <w:ind w:left="1" w:right="0" w:firstLine="0"/>
              <w:jc w:val="left"/>
            </w:pPr>
            <w:r>
              <w:rPr>
                <w:rFonts w:cs="Arial" w:hAnsi="Arial" w:eastAsia="Arial" w:ascii="Arial"/>
              </w:rPr>
              <w:t xml:space="preserve">Leskovac </w:t>
            </w:r>
          </w:p>
          <w:p>
            <w:pPr>
              <w:spacing w:before="0" w:after="0" w:line="259" w:lineRule="auto"/>
              <w:ind w:left="1" w:right="0" w:firstLine="0"/>
              <w:jc w:val="left"/>
            </w:pPr>
            <w:r>
              <w:rPr>
                <w:rFonts w:cs="Arial" w:hAnsi="Arial" w:eastAsia="Arial" w:ascii="Arial"/>
              </w:rPr>
              <w:t xml:space="preserve">UNDP </w:t>
            </w:r>
          </w:p>
        </w:tc>
        <w:tc>
          <w:tcPr>
            <w:tcW w:w="1060"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1841" w:type="dxa"/>
            <w:tcBorders>
              <w:top w:val="single" w:sz="4" w:color="000000"/>
              <w:left w:val="single" w:sz="4" w:color="000000"/>
              <w:bottom w:val="single" w:sz="4" w:color="000000"/>
              <w:right w:val="single" w:sz="4" w:color="000000"/>
            </w:tcBorders>
            <w:vAlign w:val="top"/>
          </w:tcPr>
          <w:p>
            <w:pPr>
              <w:spacing w:before="0" w:after="43" w:line="259" w:lineRule="auto"/>
              <w:ind w:left="1" w:right="0" w:firstLine="0"/>
              <w:jc w:val="left"/>
            </w:pPr>
            <w:r>
              <w:rPr>
                <w:rFonts w:cs="Arial" w:hAnsi="Arial" w:eastAsia="Arial" w:ascii="Arial"/>
                <w:sz w:val="18"/>
              </w:rPr>
              <w:t xml:space="preserve">Project Coordinator </w:t>
            </w:r>
          </w:p>
          <w:p>
            <w:pPr>
              <w:spacing w:before="0" w:after="44" w:line="259" w:lineRule="auto"/>
              <w:ind w:left="1" w:right="0" w:firstLine="0"/>
              <w:jc w:val="left"/>
            </w:pPr>
            <w:r>
              <w:rPr>
                <w:rFonts w:cs="Arial" w:hAnsi="Arial" w:eastAsia="Arial" w:ascii="Arial"/>
                <w:sz w:val="18"/>
              </w:rPr>
              <w:t xml:space="preserve">Conferences </w:t>
            </w:r>
          </w:p>
          <w:p>
            <w:pPr>
              <w:spacing w:before="0" w:after="43" w:line="259" w:lineRule="auto"/>
              <w:ind w:left="1" w:right="0" w:firstLine="0"/>
              <w:jc w:val="left"/>
            </w:pPr>
            <w:r>
              <w:rPr>
                <w:rFonts w:cs="Arial" w:hAnsi="Arial" w:eastAsia="Arial" w:ascii="Arial"/>
                <w:sz w:val="18"/>
              </w:rPr>
              <w:t xml:space="preserve">Travel </w:t>
            </w:r>
          </w:p>
          <w:p>
            <w:pPr>
              <w:spacing w:before="0" w:after="0" w:line="310" w:lineRule="auto"/>
              <w:ind w:left="1" w:right="128" w:firstLine="0"/>
              <w:jc w:val="left"/>
            </w:pPr>
            <w:r>
              <w:rPr>
                <w:rFonts w:cs="Arial" w:hAnsi="Arial" w:eastAsia="Arial" w:ascii="Arial"/>
                <w:sz w:val="18"/>
              </w:rPr>
              <w:t xml:space="preserve">Miscellaneous GMS (7%) </w:t>
            </w:r>
          </w:p>
          <w:p>
            <w:pPr>
              <w:spacing w:before="0" w:after="0" w:line="259" w:lineRule="auto"/>
              <w:ind w:left="1" w:right="0" w:firstLine="0"/>
              <w:jc w:val="left"/>
            </w:pPr>
            <w:r>
              <w:rPr>
                <w:rFonts w:cs="Arial" w:hAnsi="Arial" w:eastAsia="Arial" w:ascii="Arial"/>
                <w:b w:val="1"/>
                <w:sz w:val="18"/>
              </w:rPr>
              <w:t xml:space="preserve">Total: </w:t>
            </w:r>
          </w:p>
        </w:tc>
        <w:tc>
          <w:tcPr>
            <w:tcW w:w="1724" w:type="dxa"/>
            <w:tcBorders>
              <w:top w:val="single" w:sz="4" w:color="000000"/>
              <w:left w:val="single" w:sz="4" w:color="000000"/>
              <w:bottom w:val="single" w:sz="4" w:color="000000"/>
              <w:right w:val="single" w:sz="4" w:color="000000"/>
            </w:tcBorders>
            <w:vAlign w:val="top"/>
          </w:tcPr>
          <w:p>
            <w:pPr>
              <w:spacing w:before="0" w:after="43" w:line="259" w:lineRule="auto"/>
              <w:ind w:left="0" w:right="103" w:firstLine="0"/>
              <w:jc w:val="right"/>
            </w:pPr>
            <w:r>
              <w:rPr>
                <w:rFonts w:cs="Arial" w:hAnsi="Arial" w:eastAsia="Arial" w:ascii="Arial"/>
                <w:sz w:val="18"/>
              </w:rPr>
              <w:t xml:space="preserve">5,000 </w:t>
            </w:r>
          </w:p>
          <w:p>
            <w:pPr>
              <w:spacing w:before="0" w:after="44" w:line="259" w:lineRule="auto"/>
              <w:ind w:left="0" w:right="101" w:firstLine="0"/>
              <w:jc w:val="right"/>
            </w:pPr>
            <w:r>
              <w:rPr>
                <w:rFonts w:cs="Arial" w:hAnsi="Arial" w:eastAsia="Arial" w:ascii="Arial"/>
                <w:sz w:val="18"/>
              </w:rPr>
              <w:t xml:space="preserve">5,722  </w:t>
            </w:r>
          </w:p>
          <w:p>
            <w:pPr>
              <w:spacing w:before="0" w:after="43" w:line="259" w:lineRule="auto"/>
              <w:ind w:left="0" w:right="103" w:firstLine="0"/>
              <w:jc w:val="right"/>
            </w:pPr>
            <w:r>
              <w:rPr>
                <w:rFonts w:cs="Arial" w:hAnsi="Arial" w:eastAsia="Arial" w:ascii="Arial"/>
                <w:sz w:val="18"/>
              </w:rPr>
              <w:t xml:space="preserve">2,861 </w:t>
            </w:r>
          </w:p>
          <w:p>
            <w:pPr>
              <w:spacing w:before="0" w:after="0" w:line="259" w:lineRule="auto"/>
              <w:ind w:left="762" w:right="102" w:firstLine="0"/>
              <w:jc w:val="right"/>
            </w:pPr>
            <w:r>
              <w:rPr>
                <w:rFonts w:cs="Arial" w:hAnsi="Arial" w:eastAsia="Arial" w:ascii="Arial"/>
                <w:sz w:val="18"/>
              </w:rPr>
              <w:t xml:space="preserve">1,803 728 </w:t>
            </w:r>
            <w:r>
              <w:rPr>
                <w:rFonts w:cs="Arial" w:hAnsi="Arial" w:eastAsia="Arial" w:ascii="Arial"/>
                <w:b w:val="1"/>
                <w:sz w:val="18"/>
              </w:rPr>
              <w:t xml:space="preserve">16,114 </w:t>
            </w:r>
          </w:p>
        </w:tc>
      </w:tr>
    </w:tbl>
    <w:p>
      <w:pPr>
        <w:spacing w:before="0" w:after="0" w:line="259" w:lineRule="auto"/>
        <w:ind w:left="-864" w:right="14" w:firstLine="0"/>
        <w:jc w:val="left"/>
      </w:pPr>
    </w:p>
    <w:tbl>
      <w:tblPr>
        <w:tblStyle w:val="TableGrid"/>
        <w:tblW w:w="15442" w:type="dxa"/>
        <w:tblInd w:w="-108" w:type="dxa"/>
        <w:tblCellMar>
          <w:top w:w="62" w:type="dxa"/>
          <w:left w:w="107" w:type="dxa"/>
          <w:bottom w:w="0" w:type="dxa"/>
          <w:right w:w="58" w:type="dxa"/>
        </w:tblCellMar>
      </w:tblPr>
      <w:tblGrid>
        <w:gridCol w:w="1243"/>
        <w:gridCol w:w="2710"/>
        <w:gridCol w:w="433"/>
        <w:gridCol w:w="434"/>
        <w:gridCol w:w="431"/>
        <w:gridCol w:w="432"/>
        <w:gridCol w:w="432"/>
        <w:gridCol w:w="432"/>
        <w:gridCol w:w="432"/>
        <w:gridCol w:w="434"/>
        <w:gridCol w:w="432"/>
        <w:gridCol w:w="432"/>
        <w:gridCol w:w="432"/>
        <w:gridCol w:w="454"/>
        <w:gridCol w:w="1652"/>
        <w:gridCol w:w="1060"/>
        <w:gridCol w:w="1841"/>
        <w:gridCol w:w="1726"/>
      </w:tblGrid>
      <w:tr>
        <w:trPr>
          <w:trHeight w:val="1192" w:hRule="atLeast"/>
        </w:trPr>
        <w:tc>
          <w:tcPr>
            <w:tcW w:w="1243" w:type="dxa"/>
            <w:vMerge w:val="restart"/>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710" w:type="dxa"/>
            <w:tcBorders>
              <w:top w:val="single" w:sz="4" w:color="000000"/>
              <w:left w:val="single" w:sz="4" w:color="000000"/>
              <w:bottom w:val="single" w:sz="4" w:color="000000"/>
              <w:right w:val="single" w:sz="4" w:color="000000"/>
            </w:tcBorders>
            <w:vAlign w:val="top"/>
          </w:tcPr>
          <w:p>
            <w:pPr>
              <w:spacing w:before="0" w:after="2" w:line="251" w:lineRule="auto"/>
              <w:ind w:left="8" w:right="61" w:firstLine="0"/>
            </w:pPr>
            <w:r>
              <w:rPr>
                <w:rFonts w:cs="Arial" w:hAnsi="Arial" w:eastAsia="Arial" w:ascii="Arial"/>
                <w:b w:val="1"/>
                <w:sz w:val="20"/>
              </w:rPr>
              <w:t xml:space="preserve">Activity 2.2: </w:t>
            </w:r>
            <w:r>
              <w:rPr/>
              <w:t xml:space="preserve">Capacity building of the local tourist agencies</w:t>
            </w:r>
            <w:r>
              <w:rPr>
                <w:rFonts w:cs="Arial" w:hAnsi="Arial" w:eastAsia="Arial" w:ascii="Arial"/>
                <w:i w:val="1"/>
                <w:sz w:val="20"/>
              </w:rPr>
              <w:t xml:space="preserve"> </w:t>
            </w:r>
          </w:p>
          <w:p>
            <w:pPr>
              <w:spacing w:before="0" w:after="0" w:line="259" w:lineRule="auto"/>
              <w:ind w:left="8" w:right="0" w:firstLine="0"/>
              <w:jc w:val="left"/>
            </w:pPr>
            <w:r>
              <w:rPr>
                <w:rFonts w:cs="Arial" w:hAnsi="Arial" w:eastAsia="Arial" w:ascii="Arial"/>
                <w:i w:val="1"/>
                <w:sz w:val="20"/>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4"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4"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54"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1652" w:type="dxa"/>
            <w:tcBorders>
              <w:top w:val="single" w:sz="4" w:color="000000"/>
              <w:left w:val="single" w:sz="4" w:color="000000"/>
              <w:bottom w:val="single" w:sz="4" w:color="000000"/>
              <w:right w:val="single" w:sz="4" w:color="000000"/>
            </w:tcBorders>
            <w:vAlign w:val="center"/>
          </w:tcPr>
          <w:p>
            <w:pPr>
              <w:spacing w:before="0" w:after="0" w:line="259" w:lineRule="auto"/>
              <w:ind w:left="2" w:right="0" w:firstLine="0"/>
              <w:jc w:val="left"/>
            </w:pPr>
            <w:r>
              <w:rPr>
                <w:rFonts w:cs="Arial" w:hAnsi="Arial" w:eastAsia="Arial" w:ascii="Arial"/>
              </w:rPr>
              <w:t xml:space="preserve">RDA </w:t>
            </w:r>
          </w:p>
          <w:p>
            <w:pPr>
              <w:spacing w:before="0" w:after="40" w:line="259" w:lineRule="auto"/>
              <w:ind w:left="2" w:right="0" w:firstLine="0"/>
              <w:jc w:val="left"/>
            </w:pPr>
            <w:r>
              <w:rPr>
                <w:rFonts w:cs="Arial" w:hAnsi="Arial" w:eastAsia="Arial" w:ascii="Arial"/>
              </w:rPr>
              <w:t xml:space="preserve">Leskovac </w:t>
            </w:r>
          </w:p>
          <w:p>
            <w:pPr>
              <w:spacing w:before="0" w:after="0" w:line="259" w:lineRule="auto"/>
              <w:ind w:left="2" w:right="0" w:firstLine="0"/>
              <w:jc w:val="left"/>
            </w:pPr>
            <w:r>
              <w:rPr>
                <w:rFonts w:cs="Arial" w:hAnsi="Arial" w:eastAsia="Arial" w:ascii="Arial"/>
              </w:rPr>
              <w:t xml:space="preserve">UNDP </w:t>
            </w:r>
          </w:p>
        </w:tc>
        <w:tc>
          <w:tcPr>
            <w:tcW w:w="1060"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1841" w:type="dxa"/>
            <w:tcBorders>
              <w:top w:val="single" w:sz="4" w:color="000000"/>
              <w:left w:val="single" w:sz="4" w:color="000000"/>
              <w:bottom w:val="single" w:sz="4" w:color="000000"/>
              <w:right w:val="single" w:sz="4" w:color="000000"/>
            </w:tcBorders>
            <w:vAlign w:val="top"/>
          </w:tcPr>
          <w:p>
            <w:pPr>
              <w:spacing w:before="0" w:after="44" w:line="259" w:lineRule="auto"/>
              <w:ind w:left="1" w:right="0" w:firstLine="0"/>
              <w:jc w:val="left"/>
            </w:pPr>
            <w:r>
              <w:rPr>
                <w:rFonts w:cs="Arial" w:hAnsi="Arial" w:eastAsia="Arial" w:ascii="Arial"/>
                <w:sz w:val="18"/>
              </w:rPr>
              <w:t xml:space="preserve">Project Coordinator </w:t>
            </w:r>
          </w:p>
          <w:p>
            <w:pPr>
              <w:spacing w:before="0" w:after="0" w:line="309" w:lineRule="auto"/>
              <w:ind w:left="1" w:right="475" w:firstLine="0"/>
              <w:jc w:val="left"/>
            </w:pPr>
            <w:r>
              <w:rPr>
                <w:rFonts w:cs="Arial" w:hAnsi="Arial" w:eastAsia="Arial" w:ascii="Arial"/>
                <w:sz w:val="18"/>
              </w:rPr>
              <w:t xml:space="preserve">Trainings GMS (7%) </w:t>
            </w:r>
          </w:p>
          <w:p>
            <w:pPr>
              <w:spacing w:before="0" w:after="0" w:line="259" w:lineRule="auto"/>
              <w:ind w:left="1" w:right="0" w:firstLine="0"/>
              <w:jc w:val="left"/>
            </w:pPr>
            <w:r>
              <w:rPr>
                <w:rFonts w:cs="Arial" w:hAnsi="Arial" w:eastAsia="Arial" w:ascii="Arial"/>
                <w:b w:val="1"/>
                <w:sz w:val="18"/>
              </w:rPr>
              <w:t xml:space="preserve">Total: </w:t>
            </w:r>
          </w:p>
        </w:tc>
        <w:tc>
          <w:tcPr>
            <w:tcW w:w="1726" w:type="dxa"/>
            <w:tcBorders>
              <w:top w:val="single" w:sz="4" w:color="000000"/>
              <w:left w:val="single" w:sz="4" w:color="000000"/>
              <w:bottom w:val="single" w:sz="4" w:color="000000"/>
              <w:right w:val="single" w:sz="4" w:color="000000"/>
            </w:tcBorders>
            <w:vAlign w:val="top"/>
          </w:tcPr>
          <w:p>
            <w:pPr>
              <w:spacing w:before="0" w:after="44" w:line="259" w:lineRule="auto"/>
              <w:ind w:left="0" w:right="51" w:firstLine="0"/>
              <w:jc w:val="right"/>
            </w:pPr>
            <w:r>
              <w:rPr>
                <w:rFonts w:cs="Arial" w:hAnsi="Arial" w:eastAsia="Arial" w:ascii="Arial"/>
                <w:sz w:val="18"/>
              </w:rPr>
              <w:t xml:space="preserve">5,000 </w:t>
            </w:r>
          </w:p>
          <w:p>
            <w:pPr>
              <w:spacing w:before="0" w:after="0" w:line="259" w:lineRule="auto"/>
              <w:ind w:left="661" w:right="51" w:firstLine="0"/>
              <w:jc w:val="right"/>
            </w:pPr>
            <w:r>
              <w:rPr>
                <w:rFonts w:cs="Arial" w:hAnsi="Arial" w:eastAsia="Arial" w:ascii="Arial"/>
                <w:sz w:val="18"/>
              </w:rPr>
              <w:t xml:space="preserve">10,014 701 </w:t>
            </w:r>
            <w:r>
              <w:rPr>
                <w:rFonts w:cs="Arial" w:hAnsi="Arial" w:eastAsia="Arial" w:ascii="Arial"/>
                <w:b w:val="1"/>
                <w:sz w:val="18"/>
              </w:rPr>
              <w:t xml:space="preserve">15,715 </w:t>
            </w:r>
          </w:p>
        </w:tc>
      </w:tr>
      <w:tr>
        <w:trPr>
          <w:trHeight w:val="1867"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710" w:type="dxa"/>
            <w:tcBorders>
              <w:top w:val="single" w:sz="4" w:color="000000"/>
              <w:left w:val="single" w:sz="4" w:color="000000"/>
              <w:bottom w:val="single" w:sz="4" w:color="000000"/>
              <w:right w:val="single" w:sz="4" w:color="000000"/>
            </w:tcBorders>
            <w:vAlign w:val="top"/>
          </w:tcPr>
          <w:p>
            <w:pPr>
              <w:spacing w:before="0" w:after="0" w:line="259" w:lineRule="auto"/>
              <w:ind w:left="8" w:right="0" w:firstLine="0"/>
              <w:jc w:val="left"/>
            </w:pPr>
            <w:r>
              <w:rPr>
                <w:rFonts w:cs="Arial" w:hAnsi="Arial" w:eastAsia="Arial" w:ascii="Arial"/>
                <w:b w:val="1"/>
                <w:sz w:val="20"/>
              </w:rPr>
              <w:t xml:space="preserve">Activity 2.3:</w:t>
            </w:r>
            <w:r>
              <w:rPr>
                <w:rFonts w:cs="Arial" w:hAnsi="Arial" w:eastAsia="Arial" w:ascii="Arial"/>
                <w:sz w:val="20"/>
              </w:rPr>
              <w:t xml:space="preserve"> </w:t>
            </w:r>
            <w:r>
              <w:rPr/>
              <w:t xml:space="preserve">Education of </w:t>
            </w:r>
          </w:p>
          <w:p>
            <w:pPr>
              <w:spacing w:before="0" w:after="0" w:line="223" w:lineRule="auto"/>
              <w:ind w:left="8" w:right="0" w:firstLine="0"/>
              <w:jc w:val="left"/>
            </w:pPr>
            <w:r>
              <w:rPr/>
              <w:t xml:space="preserve">Schoolchildren on environment protection, organisation of the educational school trips </w:t>
            </w:r>
          </w:p>
          <w:p>
            <w:pPr>
              <w:spacing w:before="0" w:after="0" w:line="259" w:lineRule="auto"/>
              <w:ind w:left="8" w:right="0" w:firstLine="0"/>
              <w:jc w:val="left"/>
            </w:pPr>
            <w:r>
              <w:rPr/>
              <w:t xml:space="preserve">and creation of the web </w:t>
            </w:r>
          </w:p>
          <w:p>
            <w:pPr>
              <w:spacing w:before="0" w:after="0" w:line="259" w:lineRule="auto"/>
              <w:ind w:left="8" w:right="0" w:firstLine="0"/>
              <w:jc w:val="left"/>
            </w:pPr>
            <w:r>
              <w:rPr/>
              <w:t xml:space="preserve">site</w:t>
            </w:r>
            <w:r>
              <w:rPr>
                <w:rFonts w:cs="Arial" w:hAnsi="Arial" w:eastAsia="Arial" w:ascii="Arial"/>
                <w:sz w:val="20"/>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4"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4"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54"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1652" w:type="dxa"/>
            <w:tcBorders>
              <w:top w:val="single" w:sz="4" w:color="000000"/>
              <w:left w:val="single" w:sz="4" w:color="000000"/>
              <w:bottom w:val="single" w:sz="4" w:color="000000"/>
              <w:right w:val="single" w:sz="4" w:color="000000"/>
            </w:tcBorders>
            <w:vAlign w:val="center"/>
          </w:tcPr>
          <w:p>
            <w:pPr>
              <w:spacing w:before="0" w:after="0" w:line="259" w:lineRule="auto"/>
              <w:ind w:left="2" w:right="0" w:firstLine="0"/>
              <w:jc w:val="left"/>
            </w:pPr>
            <w:r>
              <w:rPr>
                <w:rFonts w:cs="Arial" w:hAnsi="Arial" w:eastAsia="Arial" w:ascii="Arial"/>
              </w:rPr>
              <w:t xml:space="preserve">RDA </w:t>
            </w:r>
          </w:p>
          <w:p>
            <w:pPr>
              <w:spacing w:before="0" w:after="39" w:line="259" w:lineRule="auto"/>
              <w:ind w:left="2" w:right="0" w:firstLine="0"/>
              <w:jc w:val="left"/>
            </w:pPr>
            <w:r>
              <w:rPr>
                <w:rFonts w:cs="Arial" w:hAnsi="Arial" w:eastAsia="Arial" w:ascii="Arial"/>
              </w:rPr>
              <w:t xml:space="preserve">Leskovac </w:t>
            </w:r>
          </w:p>
          <w:p>
            <w:pPr>
              <w:spacing w:before="0" w:after="0" w:line="259" w:lineRule="auto"/>
              <w:ind w:left="2" w:right="0" w:firstLine="0"/>
              <w:jc w:val="left"/>
            </w:pPr>
            <w:r>
              <w:rPr>
                <w:rFonts w:cs="Arial" w:hAnsi="Arial" w:eastAsia="Arial" w:ascii="Arial"/>
              </w:rPr>
              <w:t xml:space="preserve">UNDP </w:t>
            </w:r>
          </w:p>
        </w:tc>
        <w:tc>
          <w:tcPr>
            <w:tcW w:w="1060"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1841" w:type="dxa"/>
            <w:tcBorders>
              <w:top w:val="single" w:sz="4" w:color="000000"/>
              <w:left w:val="single" w:sz="4" w:color="000000"/>
              <w:bottom w:val="single" w:sz="4" w:color="000000"/>
              <w:right w:val="single" w:sz="4" w:color="000000"/>
            </w:tcBorders>
            <w:vAlign w:val="top"/>
          </w:tcPr>
          <w:p>
            <w:pPr>
              <w:spacing w:before="0" w:after="31" w:line="275" w:lineRule="auto"/>
              <w:ind w:left="1" w:right="0" w:firstLine="0"/>
              <w:jc w:val="left"/>
            </w:pPr>
            <w:r>
              <w:rPr>
                <w:rFonts w:cs="Arial" w:hAnsi="Arial" w:eastAsia="Arial" w:ascii="Arial"/>
                <w:sz w:val="18"/>
              </w:rPr>
              <w:t xml:space="preserve">Project Coordinator Web, education, school trips </w:t>
            </w:r>
          </w:p>
          <w:p>
            <w:pPr>
              <w:spacing w:before="0" w:after="42" w:line="259" w:lineRule="auto"/>
              <w:ind w:left="1" w:right="0" w:firstLine="0"/>
              <w:jc w:val="left"/>
            </w:pPr>
            <w:r>
              <w:rPr>
                <w:rFonts w:cs="Arial" w:hAnsi="Arial" w:eastAsia="Arial" w:ascii="Arial"/>
                <w:sz w:val="18"/>
              </w:rPr>
              <w:t xml:space="preserve">GMS (7%) </w:t>
            </w:r>
          </w:p>
          <w:p>
            <w:pPr>
              <w:spacing w:before="0" w:after="0" w:line="259" w:lineRule="auto"/>
              <w:ind w:left="1" w:right="0" w:firstLine="0"/>
              <w:jc w:val="left"/>
            </w:pPr>
            <w:r>
              <w:rPr>
                <w:rFonts w:cs="Arial" w:hAnsi="Arial" w:eastAsia="Arial" w:ascii="Arial"/>
                <w:b w:val="1"/>
                <w:sz w:val="18"/>
              </w:rPr>
              <w:t xml:space="preserve">Total: </w:t>
            </w:r>
          </w:p>
        </w:tc>
        <w:tc>
          <w:tcPr>
            <w:tcW w:w="1726" w:type="dxa"/>
            <w:tcBorders>
              <w:top w:val="single" w:sz="4" w:color="000000"/>
              <w:left w:val="single" w:sz="4" w:color="000000"/>
              <w:bottom w:val="single" w:sz="4" w:color="000000"/>
              <w:right w:val="single" w:sz="4" w:color="000000"/>
            </w:tcBorders>
            <w:vAlign w:val="top"/>
          </w:tcPr>
          <w:p>
            <w:pPr>
              <w:spacing w:before="0" w:after="44" w:line="259" w:lineRule="auto"/>
              <w:ind w:left="0" w:right="51" w:firstLine="0"/>
              <w:jc w:val="right"/>
            </w:pPr>
            <w:r>
              <w:rPr>
                <w:rFonts w:cs="Arial" w:hAnsi="Arial" w:eastAsia="Arial" w:ascii="Arial"/>
                <w:sz w:val="18"/>
              </w:rPr>
              <w:t xml:space="preserve">5,000 </w:t>
            </w:r>
          </w:p>
          <w:p>
            <w:pPr>
              <w:spacing w:before="0" w:after="43" w:line="259" w:lineRule="auto"/>
              <w:ind w:left="0" w:right="51" w:firstLine="0"/>
              <w:jc w:val="right"/>
            </w:pPr>
            <w:r>
              <w:rPr>
                <w:rFonts w:cs="Arial" w:hAnsi="Arial" w:eastAsia="Arial" w:ascii="Arial"/>
                <w:sz w:val="18"/>
              </w:rPr>
              <w:t xml:space="preserve">18,294 </w:t>
            </w:r>
          </w:p>
          <w:p>
            <w:pPr>
              <w:spacing w:before="0" w:after="44" w:line="259" w:lineRule="auto"/>
              <w:ind w:left="0" w:right="0" w:firstLine="0"/>
              <w:jc w:val="right"/>
            </w:pPr>
            <w:r>
              <w:rPr>
                <w:rFonts w:cs="Arial" w:hAnsi="Arial" w:eastAsia="Arial" w:ascii="Arial"/>
                <w:sz w:val="18"/>
              </w:rPr>
              <w:t xml:space="preserve"> </w:t>
            </w:r>
          </w:p>
          <w:p>
            <w:pPr>
              <w:spacing w:before="0" w:after="0" w:line="259" w:lineRule="auto"/>
              <w:ind w:left="960" w:right="0" w:firstLine="101"/>
              <w:jc w:val="left"/>
            </w:pPr>
            <w:r>
              <w:rPr>
                <w:rFonts w:cs="Arial" w:hAnsi="Arial" w:eastAsia="Arial" w:ascii="Arial"/>
                <w:sz w:val="18"/>
              </w:rPr>
              <w:t xml:space="preserve">1,281 </w:t>
            </w:r>
            <w:r>
              <w:rPr>
                <w:rFonts w:cs="Arial" w:hAnsi="Arial" w:eastAsia="Arial" w:ascii="Arial"/>
                <w:b w:val="1"/>
                <w:sz w:val="18"/>
              </w:rPr>
              <w:t xml:space="preserve">24,575 </w:t>
            </w:r>
          </w:p>
        </w:tc>
      </w:tr>
      <w:tr>
        <w:trPr>
          <w:trHeight w:val="1459" w:hRule="atLeast"/>
        </w:trPr>
        <w:tc>
          <w:tcPr>
            <w:tcW w:w="1243" w:type="dxa"/>
            <w:vMerge w:val="restart"/>
            <w:tcBorders>
              <w:top w:val="single" w:sz="4" w:color="000000"/>
              <w:left w:val="single" w:sz="4" w:color="000000"/>
              <w:bottom w:val="single" w:sz="4" w:color="000000"/>
              <w:right w:val="single" w:sz="4" w:color="000000"/>
            </w:tcBorders>
            <w:vAlign w:val="top"/>
          </w:tcPr>
          <w:p>
            <w:pPr>
              <w:spacing w:before="0" w:after="21" w:line="259" w:lineRule="auto"/>
              <w:ind w:left="1" w:right="0" w:firstLine="0"/>
              <w:jc w:val="left"/>
            </w:pPr>
            <w:r>
              <w:rPr>
                <w:rFonts w:cs="Arial" w:hAnsi="Arial" w:eastAsia="Arial" w:ascii="Arial"/>
                <w:b w:val="1"/>
              </w:rPr>
              <w:t xml:space="preserve">Output 3 </w:t>
            </w:r>
          </w:p>
          <w:p>
            <w:pPr>
              <w:spacing w:before="0" w:after="0" w:line="259" w:lineRule="auto"/>
              <w:ind w:left="1" w:right="0" w:firstLine="0"/>
              <w:jc w:val="left"/>
            </w:pPr>
            <w:r>
              <w:rPr>
                <w:rFonts w:cs="Arial" w:hAnsi="Arial" w:eastAsia="Arial" w:ascii="Arial"/>
                <w:i w:val="1"/>
                <w:sz w:val="20"/>
              </w:rPr>
              <w:t xml:space="preserve"> </w:t>
            </w:r>
          </w:p>
        </w:tc>
        <w:tc>
          <w:tcPr>
            <w:tcW w:w="2710" w:type="dxa"/>
            <w:tcBorders>
              <w:top w:val="single" w:sz="4" w:color="000000"/>
              <w:left w:val="single" w:sz="4" w:color="000000"/>
              <w:bottom w:val="single" w:sz="4" w:color="000000"/>
              <w:right w:val="single" w:sz="4" w:color="000000"/>
            </w:tcBorders>
            <w:vAlign w:val="top"/>
          </w:tcPr>
          <w:p>
            <w:pPr>
              <w:spacing w:before="0" w:after="14" w:line="248" w:lineRule="auto"/>
              <w:ind w:left="8" w:right="0" w:firstLine="0"/>
            </w:pPr>
            <w:r>
              <w:rPr>
                <w:rFonts w:cs="Arial" w:hAnsi="Arial" w:eastAsia="Arial" w:ascii="Arial"/>
                <w:b w:val="1"/>
                <w:sz w:val="20"/>
              </w:rPr>
              <w:t xml:space="preserve">Activity 3.1:</w:t>
            </w:r>
            <w:r>
              <w:rPr>
                <w:rFonts w:cs="Arial" w:hAnsi="Arial" w:eastAsia="Arial" w:ascii="Arial"/>
                <w:sz w:val="20"/>
              </w:rPr>
              <w:t xml:space="preserve"> </w:t>
            </w:r>
            <w:r>
              <w:rPr/>
              <w:t xml:space="preserve">Construction of the Rest Stops / Tourist </w:t>
            </w:r>
          </w:p>
          <w:p>
            <w:pPr>
              <w:spacing w:before="0" w:after="25" w:line="259" w:lineRule="auto"/>
              <w:ind w:left="8" w:right="0" w:firstLine="0"/>
              <w:jc w:val="left"/>
            </w:pPr>
            <w:r>
              <w:rPr/>
              <w:t xml:space="preserve">Micro Centers</w:t>
            </w:r>
            <w:r>
              <w:rPr>
                <w:rFonts w:cs="Arial" w:hAnsi="Arial" w:eastAsia="Arial" w:ascii="Arial"/>
                <w:b w:val="1"/>
                <w:sz w:val="20"/>
              </w:rPr>
              <w:t xml:space="preserve"> </w:t>
            </w:r>
          </w:p>
          <w:p>
            <w:pPr>
              <w:spacing w:before="0" w:after="0" w:line="259" w:lineRule="auto"/>
              <w:ind w:left="137" w:right="0" w:firstLine="0"/>
              <w:jc w:val="left"/>
            </w:pPr>
            <w:r>
              <w:rPr>
                <w:rFonts w:cs="Arial" w:hAnsi="Arial" w:eastAsia="Arial" w:ascii="Arial"/>
                <w:sz w:val="16"/>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4"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4"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54"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1652" w:type="dxa"/>
            <w:tcBorders>
              <w:top w:val="single" w:sz="4" w:color="000000"/>
              <w:left w:val="single" w:sz="4" w:color="000000"/>
              <w:bottom w:val="single" w:sz="4" w:color="000000"/>
              <w:right w:val="single" w:sz="4" w:color="000000"/>
            </w:tcBorders>
            <w:vAlign w:val="center"/>
          </w:tcPr>
          <w:p>
            <w:pPr>
              <w:spacing w:before="0" w:after="0" w:line="259" w:lineRule="auto"/>
              <w:ind w:left="2" w:right="0" w:firstLine="0"/>
              <w:jc w:val="left"/>
            </w:pPr>
            <w:r>
              <w:rPr>
                <w:rFonts w:cs="Arial" w:hAnsi="Arial" w:eastAsia="Arial" w:ascii="Arial"/>
              </w:rPr>
              <w:t xml:space="preserve">RDA </w:t>
            </w:r>
          </w:p>
          <w:p>
            <w:pPr>
              <w:spacing w:before="0" w:after="40" w:line="259" w:lineRule="auto"/>
              <w:ind w:left="2" w:right="0" w:firstLine="0"/>
              <w:jc w:val="left"/>
            </w:pPr>
            <w:r>
              <w:rPr>
                <w:rFonts w:cs="Arial" w:hAnsi="Arial" w:eastAsia="Arial" w:ascii="Arial"/>
              </w:rPr>
              <w:t xml:space="preserve">Leskovac </w:t>
            </w:r>
          </w:p>
          <w:p>
            <w:pPr>
              <w:spacing w:before="0" w:after="0" w:line="259" w:lineRule="auto"/>
              <w:ind w:left="2" w:right="0" w:firstLine="0"/>
              <w:jc w:val="left"/>
            </w:pPr>
            <w:r>
              <w:rPr>
                <w:rFonts w:cs="Arial" w:hAnsi="Arial" w:eastAsia="Arial" w:ascii="Arial"/>
              </w:rPr>
              <w:t xml:space="preserve">UNDP </w:t>
            </w:r>
          </w:p>
        </w:tc>
        <w:tc>
          <w:tcPr>
            <w:tcW w:w="1060"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1841" w:type="dxa"/>
            <w:tcBorders>
              <w:top w:val="single" w:sz="4" w:color="000000"/>
              <w:left w:val="single" w:sz="4" w:color="000000"/>
              <w:bottom w:val="single" w:sz="4" w:color="000000"/>
              <w:right w:val="single" w:sz="4" w:color="000000"/>
            </w:tcBorders>
            <w:vAlign w:val="top"/>
          </w:tcPr>
          <w:p>
            <w:pPr>
              <w:spacing w:before="0" w:after="29" w:line="275" w:lineRule="auto"/>
              <w:ind w:left="1" w:right="0" w:firstLine="0"/>
              <w:jc w:val="left"/>
            </w:pPr>
            <w:r>
              <w:rPr>
                <w:rFonts w:cs="Arial" w:hAnsi="Arial" w:eastAsia="Arial" w:ascii="Arial"/>
                <w:sz w:val="18"/>
              </w:rPr>
              <w:t xml:space="preserve">Project Coordinator Tourist micro centres </w:t>
            </w:r>
          </w:p>
          <w:p>
            <w:pPr>
              <w:spacing w:before="0" w:after="43" w:line="259" w:lineRule="auto"/>
              <w:ind w:left="1" w:right="0" w:firstLine="0"/>
              <w:jc w:val="left"/>
            </w:pPr>
            <w:r>
              <w:rPr>
                <w:rFonts w:cs="Arial" w:hAnsi="Arial" w:eastAsia="Arial" w:ascii="Arial"/>
                <w:sz w:val="18"/>
              </w:rPr>
              <w:t xml:space="preserve">GMS (7%) </w:t>
            </w:r>
          </w:p>
          <w:p>
            <w:pPr>
              <w:spacing w:before="0" w:after="0" w:line="259" w:lineRule="auto"/>
              <w:ind w:left="1" w:right="0" w:firstLine="0"/>
              <w:jc w:val="left"/>
            </w:pPr>
            <w:r>
              <w:rPr>
                <w:rFonts w:cs="Arial" w:hAnsi="Arial" w:eastAsia="Arial" w:ascii="Arial"/>
                <w:b w:val="1"/>
                <w:sz w:val="18"/>
              </w:rPr>
              <w:t xml:space="preserve">Total: </w:t>
            </w:r>
          </w:p>
        </w:tc>
        <w:tc>
          <w:tcPr>
            <w:tcW w:w="1726" w:type="dxa"/>
            <w:tcBorders>
              <w:top w:val="single" w:sz="4" w:color="000000"/>
              <w:left w:val="single" w:sz="4" w:color="000000"/>
              <w:bottom w:val="single" w:sz="4" w:color="000000"/>
              <w:right w:val="single" w:sz="4" w:color="000000"/>
            </w:tcBorders>
            <w:vAlign w:val="top"/>
          </w:tcPr>
          <w:p>
            <w:pPr>
              <w:spacing w:before="0" w:after="43" w:line="259" w:lineRule="auto"/>
              <w:ind w:left="0" w:right="51" w:firstLine="0"/>
              <w:jc w:val="right"/>
            </w:pPr>
            <w:r>
              <w:rPr>
                <w:rFonts w:cs="Arial" w:hAnsi="Arial" w:eastAsia="Arial" w:ascii="Arial"/>
                <w:sz w:val="18"/>
              </w:rPr>
              <w:t xml:space="preserve">5,000 </w:t>
            </w:r>
          </w:p>
          <w:p>
            <w:pPr>
              <w:spacing w:before="0" w:after="44" w:line="259" w:lineRule="auto"/>
              <w:ind w:left="0" w:right="51" w:firstLine="0"/>
              <w:jc w:val="right"/>
            </w:pPr>
            <w:r>
              <w:rPr>
                <w:rFonts w:cs="Arial" w:hAnsi="Arial" w:eastAsia="Arial" w:ascii="Arial"/>
                <w:sz w:val="18"/>
              </w:rPr>
              <w:t xml:space="preserve">20,029 </w:t>
            </w:r>
          </w:p>
          <w:p>
            <w:pPr>
              <w:spacing w:before="0" w:after="43" w:line="259" w:lineRule="auto"/>
              <w:ind w:left="0" w:right="0" w:firstLine="0"/>
              <w:jc w:val="right"/>
            </w:pPr>
            <w:r>
              <w:rPr>
                <w:rFonts w:cs="Arial" w:hAnsi="Arial" w:eastAsia="Arial" w:ascii="Arial"/>
                <w:sz w:val="18"/>
              </w:rPr>
              <w:t xml:space="preserve"> </w:t>
            </w:r>
          </w:p>
          <w:p>
            <w:pPr>
              <w:spacing w:before="0" w:after="0" w:line="259" w:lineRule="auto"/>
              <w:ind w:left="960" w:right="0" w:firstLine="101"/>
              <w:jc w:val="left"/>
            </w:pPr>
            <w:r>
              <w:rPr>
                <w:rFonts w:cs="Arial" w:hAnsi="Arial" w:eastAsia="Arial" w:ascii="Arial"/>
                <w:sz w:val="18"/>
              </w:rPr>
              <w:t xml:space="preserve">1,752 </w:t>
            </w:r>
            <w:r>
              <w:rPr>
                <w:rFonts w:cs="Arial" w:hAnsi="Arial" w:eastAsia="Arial" w:ascii="Arial"/>
                <w:b w:val="1"/>
                <w:sz w:val="18"/>
              </w:rPr>
              <w:t xml:space="preserve">26,781 </w:t>
            </w:r>
          </w:p>
        </w:tc>
      </w:tr>
      <w:tr>
        <w:trPr>
          <w:trHeight w:val="1193"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710" w:type="dxa"/>
            <w:tcBorders>
              <w:top w:val="single" w:sz="4" w:color="000000"/>
              <w:left w:val="single" w:sz="4" w:color="000000"/>
              <w:bottom w:val="single" w:sz="4" w:color="000000"/>
              <w:right w:val="single" w:sz="4" w:color="000000"/>
            </w:tcBorders>
            <w:vAlign w:val="top"/>
          </w:tcPr>
          <w:p>
            <w:pPr>
              <w:spacing w:before="0" w:after="0" w:line="236" w:lineRule="auto"/>
              <w:ind w:left="8" w:right="171" w:firstLine="0"/>
            </w:pPr>
            <w:r>
              <w:rPr>
                <w:rFonts w:cs="Arial" w:hAnsi="Arial" w:eastAsia="Arial" w:ascii="Arial"/>
                <w:b w:val="1"/>
                <w:sz w:val="20"/>
              </w:rPr>
              <w:t xml:space="preserve">Activity 3.2:</w:t>
            </w:r>
            <w:r>
              <w:rPr>
                <w:rFonts w:cs="Arial" w:hAnsi="Arial" w:eastAsia="Arial" w:ascii="Arial"/>
                <w:sz w:val="20"/>
              </w:rPr>
              <w:t xml:space="preserve"> </w:t>
            </w:r>
            <w:r>
              <w:rPr/>
              <w:t xml:space="preserve">Construction of the seasonal market, access road and parking </w:t>
            </w:r>
          </w:p>
          <w:p>
            <w:pPr>
              <w:spacing w:before="0" w:after="0" w:line="259" w:lineRule="auto"/>
              <w:ind w:left="8" w:right="0" w:firstLine="0"/>
              <w:jc w:val="left"/>
            </w:pPr>
            <w:r>
              <w:rPr/>
              <w:t xml:space="preserve">lot construction</w:t>
            </w:r>
            <w:r>
              <w:rPr>
                <w:rFonts w:cs="Calibri" w:hAnsi="Calibri" w:eastAsia="Calibri" w:ascii="Calibri"/>
                <w:b w:val="1"/>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4"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4"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454"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1652" w:type="dxa"/>
            <w:tcBorders>
              <w:top w:val="single" w:sz="4" w:color="000000"/>
              <w:left w:val="single" w:sz="4" w:color="000000"/>
              <w:bottom w:val="single" w:sz="4" w:color="000000"/>
              <w:right w:val="single" w:sz="4" w:color="000000"/>
            </w:tcBorders>
            <w:vAlign w:val="center"/>
          </w:tcPr>
          <w:p>
            <w:pPr>
              <w:spacing w:before="0" w:after="0" w:line="259" w:lineRule="auto"/>
              <w:ind w:left="2" w:right="0" w:firstLine="0"/>
              <w:jc w:val="left"/>
            </w:pPr>
            <w:r>
              <w:rPr>
                <w:rFonts w:cs="Arial" w:hAnsi="Arial" w:eastAsia="Arial" w:ascii="Arial"/>
              </w:rPr>
              <w:t xml:space="preserve">RDA </w:t>
            </w:r>
          </w:p>
          <w:p>
            <w:pPr>
              <w:spacing w:before="0" w:after="40" w:line="259" w:lineRule="auto"/>
              <w:ind w:left="2" w:right="0" w:firstLine="0"/>
              <w:jc w:val="left"/>
            </w:pPr>
            <w:r>
              <w:rPr>
                <w:rFonts w:cs="Arial" w:hAnsi="Arial" w:eastAsia="Arial" w:ascii="Arial"/>
              </w:rPr>
              <w:t xml:space="preserve">Leskovac </w:t>
            </w:r>
          </w:p>
          <w:p>
            <w:pPr>
              <w:spacing w:before="0" w:after="0" w:line="259" w:lineRule="auto"/>
              <w:ind w:left="2" w:right="0" w:firstLine="0"/>
              <w:jc w:val="left"/>
            </w:pPr>
            <w:r>
              <w:rPr>
                <w:rFonts w:cs="Arial" w:hAnsi="Arial" w:eastAsia="Arial" w:ascii="Arial"/>
              </w:rPr>
              <w:t xml:space="preserve">UNDP </w:t>
            </w:r>
          </w:p>
        </w:tc>
        <w:tc>
          <w:tcPr>
            <w:tcW w:w="1060"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1841" w:type="dxa"/>
            <w:tcBorders>
              <w:top w:val="single" w:sz="4" w:color="000000"/>
              <w:left w:val="single" w:sz="4" w:color="000000"/>
              <w:bottom w:val="single" w:sz="4" w:color="000000"/>
              <w:right w:val="single" w:sz="4" w:color="000000"/>
            </w:tcBorders>
            <w:vAlign w:val="top"/>
          </w:tcPr>
          <w:p>
            <w:pPr>
              <w:spacing w:before="0" w:after="44" w:line="259" w:lineRule="auto"/>
              <w:ind w:left="1" w:right="0" w:firstLine="0"/>
              <w:jc w:val="left"/>
            </w:pPr>
            <w:r>
              <w:rPr>
                <w:rFonts w:cs="Arial" w:hAnsi="Arial" w:eastAsia="Arial" w:ascii="Arial"/>
                <w:sz w:val="18"/>
              </w:rPr>
              <w:t xml:space="preserve">Project Coordinator </w:t>
            </w:r>
          </w:p>
          <w:p>
            <w:pPr>
              <w:spacing w:before="0" w:after="0" w:line="309" w:lineRule="auto"/>
              <w:ind w:left="1" w:right="0" w:firstLine="0"/>
              <w:jc w:val="left"/>
            </w:pPr>
            <w:r>
              <w:rPr>
                <w:rFonts w:cs="Arial" w:hAnsi="Arial" w:eastAsia="Arial" w:ascii="Arial"/>
                <w:sz w:val="18"/>
              </w:rPr>
              <w:t xml:space="preserve">Seasonal market GMS (7%) </w:t>
            </w:r>
          </w:p>
          <w:p>
            <w:pPr>
              <w:spacing w:before="0" w:after="0" w:line="259" w:lineRule="auto"/>
              <w:ind w:left="1" w:right="0" w:firstLine="0"/>
              <w:jc w:val="left"/>
            </w:pPr>
            <w:r>
              <w:rPr>
                <w:rFonts w:cs="Arial" w:hAnsi="Arial" w:eastAsia="Arial" w:ascii="Arial"/>
                <w:b w:val="1"/>
                <w:sz w:val="18"/>
              </w:rPr>
              <w:t xml:space="preserve">Total: </w:t>
            </w:r>
          </w:p>
        </w:tc>
        <w:tc>
          <w:tcPr>
            <w:tcW w:w="1726" w:type="dxa"/>
            <w:tcBorders>
              <w:top w:val="single" w:sz="4" w:color="000000"/>
              <w:left w:val="single" w:sz="4" w:color="000000"/>
              <w:bottom w:val="single" w:sz="4" w:color="000000"/>
              <w:right w:val="single" w:sz="4" w:color="000000"/>
            </w:tcBorders>
            <w:vAlign w:val="top"/>
          </w:tcPr>
          <w:p>
            <w:pPr>
              <w:spacing w:before="0" w:after="44" w:line="259" w:lineRule="auto"/>
              <w:ind w:left="0" w:right="51" w:firstLine="0"/>
              <w:jc w:val="right"/>
            </w:pPr>
            <w:r>
              <w:rPr>
                <w:rFonts w:cs="Arial" w:hAnsi="Arial" w:eastAsia="Arial" w:ascii="Arial"/>
                <w:sz w:val="18"/>
              </w:rPr>
              <w:t xml:space="preserve">5,000 </w:t>
            </w:r>
          </w:p>
          <w:p>
            <w:pPr>
              <w:spacing w:before="0" w:after="0" w:line="259" w:lineRule="auto"/>
              <w:ind w:left="960" w:right="0" w:firstLine="0"/>
              <w:jc w:val="left"/>
            </w:pPr>
            <w:r>
              <w:rPr>
                <w:rFonts w:cs="Arial" w:hAnsi="Arial" w:eastAsia="Arial" w:ascii="Arial"/>
                <w:sz w:val="18"/>
              </w:rPr>
              <w:t xml:space="preserve">13,591 1,301 </w:t>
            </w:r>
            <w:r>
              <w:rPr>
                <w:rFonts w:cs="Arial" w:hAnsi="Arial" w:eastAsia="Arial" w:ascii="Arial"/>
                <w:b w:val="1"/>
                <w:sz w:val="18"/>
              </w:rPr>
              <w:t xml:space="preserve">19,892 </w:t>
            </w:r>
          </w:p>
        </w:tc>
      </w:tr>
      <w:tr>
        <w:trPr>
          <w:trHeight w:val="1194"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710" w:type="dxa"/>
            <w:tcBorders>
              <w:top w:val="single" w:sz="4" w:color="000000"/>
              <w:left w:val="single" w:sz="4" w:color="000000"/>
              <w:bottom w:val="single" w:sz="4" w:color="000000"/>
              <w:right w:val="single" w:sz="4" w:color="000000"/>
            </w:tcBorders>
            <w:vAlign w:val="top"/>
          </w:tcPr>
          <w:p>
            <w:pPr>
              <w:spacing w:before="0" w:after="0" w:line="270" w:lineRule="auto"/>
              <w:ind w:left="8" w:right="0" w:firstLine="0"/>
            </w:pPr>
            <w:r>
              <w:rPr>
                <w:rFonts w:cs="Arial" w:hAnsi="Arial" w:eastAsia="Arial" w:ascii="Arial"/>
                <w:b w:val="1"/>
                <w:sz w:val="20"/>
              </w:rPr>
              <w:t xml:space="preserve">Activity 3.3:</w:t>
            </w:r>
            <w:r>
              <w:rPr>
                <w:rFonts w:cs="Arial" w:hAnsi="Arial" w:eastAsia="Arial" w:ascii="Arial"/>
                <w:sz w:val="20"/>
              </w:rPr>
              <w:t xml:space="preserve"> </w:t>
            </w:r>
            <w:r>
              <w:rPr/>
              <w:t xml:space="preserve">Construction of Bird Watching Platform</w:t>
            </w:r>
            <w:r>
              <w:rPr>
                <w:rFonts w:cs="Arial" w:hAnsi="Arial" w:eastAsia="Arial" w:ascii="Arial"/>
                <w:sz w:val="20"/>
              </w:rPr>
              <w:t xml:space="preserve"> </w:t>
            </w:r>
          </w:p>
          <w:p>
            <w:pPr>
              <w:spacing w:before="0" w:after="0" w:line="259" w:lineRule="auto"/>
              <w:ind w:left="137" w:right="0" w:firstLine="0"/>
              <w:jc w:val="left"/>
            </w:pPr>
            <w:r>
              <w:rPr>
                <w:rFonts w:cs="Arial" w:hAnsi="Arial" w:eastAsia="Arial" w:ascii="Arial"/>
                <w:sz w:val="20"/>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4"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4"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454"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1652" w:type="dxa"/>
            <w:tcBorders>
              <w:top w:val="single" w:sz="4" w:color="000000"/>
              <w:left w:val="single" w:sz="4" w:color="000000"/>
              <w:bottom w:val="single" w:sz="4" w:color="000000"/>
              <w:right w:val="single" w:sz="4" w:color="000000"/>
            </w:tcBorders>
            <w:vAlign w:val="center"/>
          </w:tcPr>
          <w:p>
            <w:pPr>
              <w:spacing w:before="0" w:after="0" w:line="259" w:lineRule="auto"/>
              <w:ind w:left="2" w:right="0" w:firstLine="0"/>
              <w:jc w:val="left"/>
            </w:pPr>
            <w:r>
              <w:rPr>
                <w:rFonts w:cs="Arial" w:hAnsi="Arial" w:eastAsia="Arial" w:ascii="Arial"/>
              </w:rPr>
              <w:t xml:space="preserve">RDA </w:t>
            </w:r>
          </w:p>
          <w:p>
            <w:pPr>
              <w:spacing w:before="0" w:after="40" w:line="259" w:lineRule="auto"/>
              <w:ind w:left="2" w:right="0" w:firstLine="0"/>
              <w:jc w:val="left"/>
            </w:pPr>
            <w:r>
              <w:rPr>
                <w:rFonts w:cs="Arial" w:hAnsi="Arial" w:eastAsia="Arial" w:ascii="Arial"/>
              </w:rPr>
              <w:t xml:space="preserve">Leskovac </w:t>
            </w:r>
          </w:p>
          <w:p>
            <w:pPr>
              <w:spacing w:before="0" w:after="0" w:line="259" w:lineRule="auto"/>
              <w:ind w:left="2" w:right="0" w:firstLine="0"/>
              <w:jc w:val="left"/>
            </w:pPr>
            <w:r>
              <w:rPr>
                <w:rFonts w:cs="Arial" w:hAnsi="Arial" w:eastAsia="Arial" w:ascii="Arial"/>
              </w:rPr>
              <w:t xml:space="preserve">UNDP </w:t>
            </w:r>
          </w:p>
        </w:tc>
        <w:tc>
          <w:tcPr>
            <w:tcW w:w="1060"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1841" w:type="dxa"/>
            <w:tcBorders>
              <w:top w:val="single" w:sz="4" w:color="000000"/>
              <w:left w:val="single" w:sz="4" w:color="000000"/>
              <w:bottom w:val="single" w:sz="4" w:color="000000"/>
              <w:right w:val="single" w:sz="4" w:color="000000"/>
            </w:tcBorders>
            <w:vAlign w:val="top"/>
          </w:tcPr>
          <w:p>
            <w:pPr>
              <w:spacing w:before="0" w:after="43" w:line="259" w:lineRule="auto"/>
              <w:ind w:left="1" w:right="0" w:firstLine="0"/>
              <w:jc w:val="left"/>
            </w:pPr>
            <w:r>
              <w:rPr>
                <w:rFonts w:cs="Arial" w:hAnsi="Arial" w:eastAsia="Arial" w:ascii="Arial"/>
                <w:sz w:val="18"/>
              </w:rPr>
              <w:t xml:space="preserve">Project Coordinator </w:t>
            </w:r>
          </w:p>
          <w:p>
            <w:pPr>
              <w:spacing w:before="0" w:after="0" w:line="310" w:lineRule="auto"/>
              <w:ind w:left="1" w:right="194" w:firstLine="0"/>
              <w:jc w:val="left"/>
            </w:pPr>
            <w:r>
              <w:rPr>
                <w:rFonts w:cs="Arial" w:hAnsi="Arial" w:eastAsia="Arial" w:ascii="Arial"/>
                <w:sz w:val="18"/>
              </w:rPr>
              <w:t xml:space="preserve">Bird platform GMS (7%) </w:t>
            </w:r>
          </w:p>
          <w:p>
            <w:pPr>
              <w:spacing w:before="0" w:after="0" w:line="259" w:lineRule="auto"/>
              <w:ind w:left="1" w:right="0" w:firstLine="0"/>
              <w:jc w:val="left"/>
            </w:pPr>
            <w:r>
              <w:rPr>
                <w:rFonts w:cs="Arial" w:hAnsi="Arial" w:eastAsia="Arial" w:ascii="Arial"/>
                <w:b w:val="1"/>
                <w:sz w:val="18"/>
              </w:rPr>
              <w:t xml:space="preserve">Total: </w:t>
            </w:r>
          </w:p>
        </w:tc>
        <w:tc>
          <w:tcPr>
            <w:tcW w:w="1726" w:type="dxa"/>
            <w:tcBorders>
              <w:top w:val="single" w:sz="4" w:color="000000"/>
              <w:left w:val="single" w:sz="4" w:color="000000"/>
              <w:bottom w:val="single" w:sz="4" w:color="000000"/>
              <w:right w:val="single" w:sz="4" w:color="000000"/>
            </w:tcBorders>
            <w:vAlign w:val="top"/>
          </w:tcPr>
          <w:p>
            <w:pPr>
              <w:spacing w:before="0" w:after="43" w:line="259" w:lineRule="auto"/>
              <w:ind w:left="0" w:right="51" w:firstLine="0"/>
              <w:jc w:val="right"/>
            </w:pPr>
            <w:r>
              <w:rPr>
                <w:rFonts w:cs="Arial" w:hAnsi="Arial" w:eastAsia="Arial" w:ascii="Arial"/>
                <w:sz w:val="18"/>
              </w:rPr>
              <w:t xml:space="preserve">5,000 </w:t>
            </w:r>
          </w:p>
          <w:p>
            <w:pPr>
              <w:spacing w:before="0" w:after="0" w:line="259" w:lineRule="auto"/>
              <w:ind w:left="762" w:right="51" w:firstLine="0"/>
              <w:jc w:val="right"/>
            </w:pPr>
            <w:r>
              <w:rPr>
                <w:rFonts w:cs="Arial" w:hAnsi="Arial" w:eastAsia="Arial" w:ascii="Arial"/>
                <w:sz w:val="18"/>
              </w:rPr>
              <w:t xml:space="preserve">5,722 751 </w:t>
            </w:r>
            <w:r>
              <w:rPr>
                <w:rFonts w:cs="Arial" w:hAnsi="Arial" w:eastAsia="Arial" w:ascii="Arial"/>
                <w:b w:val="1"/>
                <w:sz w:val="18"/>
              </w:rPr>
              <w:t xml:space="preserve">11,473 </w:t>
            </w:r>
          </w:p>
        </w:tc>
      </w:tr>
      <w:tr>
        <w:trPr>
          <w:trHeight w:val="1193"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710" w:type="dxa"/>
            <w:tcBorders>
              <w:top w:val="single" w:sz="4" w:color="000000"/>
              <w:left w:val="single" w:sz="4" w:color="000000"/>
              <w:bottom w:val="single" w:sz="4" w:color="000000"/>
              <w:right w:val="single" w:sz="4" w:color="000000"/>
            </w:tcBorders>
            <w:vAlign w:val="top"/>
          </w:tcPr>
          <w:p>
            <w:pPr>
              <w:spacing w:before="0" w:after="9" w:line="259" w:lineRule="auto"/>
              <w:ind w:left="8" w:right="0" w:firstLine="0"/>
              <w:jc w:val="left"/>
            </w:pPr>
            <w:r>
              <w:rPr>
                <w:rFonts w:cs="Arial" w:hAnsi="Arial" w:eastAsia="Arial" w:ascii="Arial"/>
                <w:b w:val="1"/>
                <w:sz w:val="20"/>
              </w:rPr>
              <w:t xml:space="preserve">Activity 3.4:</w:t>
            </w:r>
            <w:r>
              <w:rPr>
                <w:rFonts w:cs="Arial" w:hAnsi="Arial" w:eastAsia="Arial" w:ascii="Arial"/>
                <w:sz w:val="20"/>
              </w:rPr>
              <w:t xml:space="preserve"> </w:t>
            </w:r>
            <w:r>
              <w:rPr/>
              <w:t xml:space="preserve">Tourist Info </w:t>
            </w:r>
          </w:p>
          <w:p>
            <w:pPr>
              <w:spacing w:before="0" w:after="0" w:line="259" w:lineRule="auto"/>
              <w:ind w:left="8" w:right="0" w:firstLine="0"/>
              <w:jc w:val="left"/>
            </w:pPr>
            <w:r>
              <w:rPr/>
              <w:t xml:space="preserve">Boards</w:t>
            </w:r>
            <w:r>
              <w:rPr>
                <w:rFonts w:cs="Arial" w:hAnsi="Arial" w:eastAsia="Arial" w:ascii="Arial"/>
                <w:sz w:val="20"/>
              </w:rPr>
              <w:t xml:space="preserve"> </w:t>
            </w:r>
          </w:p>
          <w:p>
            <w:pPr>
              <w:spacing w:before="0" w:after="0" w:line="259" w:lineRule="auto"/>
              <w:ind w:left="137" w:right="0" w:firstLine="0"/>
              <w:jc w:val="left"/>
            </w:pPr>
            <w:r>
              <w:rPr>
                <w:rFonts w:cs="Arial" w:hAnsi="Arial" w:eastAsia="Arial" w:ascii="Arial"/>
                <w:sz w:val="20"/>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4"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1"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0"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4"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54"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1652" w:type="dxa"/>
            <w:tcBorders>
              <w:top w:val="single" w:sz="4" w:color="000000"/>
              <w:left w:val="single" w:sz="4" w:color="000000"/>
              <w:bottom w:val="single" w:sz="4" w:color="000000"/>
              <w:right w:val="single" w:sz="4" w:color="000000"/>
            </w:tcBorders>
            <w:vAlign w:val="center"/>
          </w:tcPr>
          <w:p>
            <w:pPr>
              <w:spacing w:before="0" w:after="0" w:line="259" w:lineRule="auto"/>
              <w:ind w:left="2" w:right="0" w:firstLine="0"/>
              <w:jc w:val="left"/>
            </w:pPr>
            <w:r>
              <w:rPr>
                <w:rFonts w:cs="Arial" w:hAnsi="Arial" w:eastAsia="Arial" w:ascii="Arial"/>
              </w:rPr>
              <w:t xml:space="preserve">RDA </w:t>
            </w:r>
          </w:p>
          <w:p>
            <w:pPr>
              <w:spacing w:before="0" w:after="40" w:line="259" w:lineRule="auto"/>
              <w:ind w:left="2" w:right="0" w:firstLine="0"/>
              <w:jc w:val="left"/>
            </w:pPr>
            <w:r>
              <w:rPr>
                <w:rFonts w:cs="Arial" w:hAnsi="Arial" w:eastAsia="Arial" w:ascii="Arial"/>
              </w:rPr>
              <w:t xml:space="preserve">Leskovac </w:t>
            </w:r>
          </w:p>
          <w:p>
            <w:pPr>
              <w:spacing w:before="0" w:after="0" w:line="259" w:lineRule="auto"/>
              <w:ind w:left="2" w:right="0" w:firstLine="0"/>
              <w:jc w:val="left"/>
            </w:pPr>
            <w:r>
              <w:rPr>
                <w:rFonts w:cs="Arial" w:hAnsi="Arial" w:eastAsia="Arial" w:ascii="Arial"/>
              </w:rPr>
              <w:t xml:space="preserve">UNDP </w:t>
            </w:r>
          </w:p>
        </w:tc>
        <w:tc>
          <w:tcPr>
            <w:tcW w:w="1060"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1841" w:type="dxa"/>
            <w:tcBorders>
              <w:top w:val="single" w:sz="4" w:color="000000"/>
              <w:left w:val="single" w:sz="4" w:color="000000"/>
              <w:bottom w:val="single" w:sz="4" w:color="000000"/>
              <w:right w:val="single" w:sz="4" w:color="000000"/>
            </w:tcBorders>
            <w:vAlign w:val="top"/>
          </w:tcPr>
          <w:p>
            <w:pPr>
              <w:spacing w:before="0" w:after="43" w:line="259" w:lineRule="auto"/>
              <w:ind w:left="1" w:right="0" w:firstLine="0"/>
              <w:jc w:val="left"/>
            </w:pPr>
            <w:r>
              <w:rPr>
                <w:rFonts w:cs="Arial" w:hAnsi="Arial" w:eastAsia="Arial" w:ascii="Arial"/>
                <w:sz w:val="18"/>
              </w:rPr>
              <w:t xml:space="preserve">Project Coordinator </w:t>
            </w:r>
          </w:p>
          <w:p>
            <w:pPr>
              <w:spacing w:before="0" w:after="0" w:line="310" w:lineRule="auto"/>
              <w:ind w:left="1" w:right="315" w:firstLine="0"/>
              <w:jc w:val="left"/>
            </w:pPr>
            <w:r>
              <w:rPr>
                <w:rFonts w:cs="Arial" w:hAnsi="Arial" w:eastAsia="Arial" w:ascii="Arial"/>
                <w:sz w:val="18"/>
              </w:rPr>
              <w:t xml:space="preserve">Info boards GMS (7%) </w:t>
            </w:r>
          </w:p>
          <w:p>
            <w:pPr>
              <w:spacing w:before="0" w:after="0" w:line="259" w:lineRule="auto"/>
              <w:ind w:left="1" w:right="0" w:firstLine="0"/>
              <w:jc w:val="left"/>
            </w:pPr>
            <w:r>
              <w:rPr>
                <w:rFonts w:cs="Arial" w:hAnsi="Arial" w:eastAsia="Arial" w:ascii="Arial"/>
                <w:b w:val="1"/>
                <w:sz w:val="18"/>
              </w:rPr>
              <w:t xml:space="preserve">Total: </w:t>
            </w:r>
          </w:p>
        </w:tc>
        <w:tc>
          <w:tcPr>
            <w:tcW w:w="1726" w:type="dxa"/>
            <w:tcBorders>
              <w:top w:val="single" w:sz="4" w:color="000000"/>
              <w:left w:val="single" w:sz="4" w:color="000000"/>
              <w:bottom w:val="single" w:sz="4" w:color="000000"/>
              <w:right w:val="single" w:sz="4" w:color="000000"/>
            </w:tcBorders>
            <w:vAlign w:val="top"/>
          </w:tcPr>
          <w:p>
            <w:pPr>
              <w:spacing w:before="0" w:after="43" w:line="259" w:lineRule="auto"/>
              <w:ind w:left="0" w:right="51" w:firstLine="0"/>
              <w:jc w:val="right"/>
            </w:pPr>
            <w:r>
              <w:rPr>
                <w:rFonts w:cs="Arial" w:hAnsi="Arial" w:eastAsia="Arial" w:ascii="Arial"/>
                <w:sz w:val="18"/>
              </w:rPr>
              <w:t xml:space="preserve">5,000 </w:t>
            </w:r>
          </w:p>
          <w:p>
            <w:pPr>
              <w:spacing w:before="0" w:after="0" w:line="259" w:lineRule="auto"/>
              <w:ind w:left="762" w:right="51" w:firstLine="0"/>
              <w:jc w:val="right"/>
            </w:pPr>
            <w:r>
              <w:rPr>
                <w:rFonts w:cs="Arial" w:hAnsi="Arial" w:eastAsia="Arial" w:ascii="Arial"/>
                <w:sz w:val="18"/>
              </w:rPr>
              <w:t xml:space="preserve">8,584 951 </w:t>
            </w:r>
            <w:r>
              <w:rPr>
                <w:rFonts w:cs="Arial" w:hAnsi="Arial" w:eastAsia="Arial" w:ascii="Arial"/>
                <w:b w:val="1"/>
                <w:sz w:val="18"/>
              </w:rPr>
              <w:t xml:space="preserve">14,535 </w:t>
            </w:r>
          </w:p>
        </w:tc>
      </w:tr>
      <w:tr>
        <w:trPr>
          <w:trHeight w:val="1148"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710" w:type="dxa"/>
            <w:tcBorders>
              <w:top w:val="single" w:sz="4" w:color="000000"/>
              <w:left w:val="single" w:sz="4" w:color="000000"/>
              <w:bottom w:val="single" w:sz="4" w:color="000000"/>
              <w:right w:val="single" w:sz="4" w:color="000000"/>
            </w:tcBorders>
            <w:vAlign w:val="top"/>
          </w:tcPr>
          <w:p>
            <w:pPr>
              <w:spacing w:before="0" w:after="0" w:line="259" w:lineRule="auto"/>
              <w:ind w:left="8" w:right="0" w:firstLine="0"/>
              <w:jc w:val="left"/>
            </w:pPr>
            <w:r>
              <w:rPr>
                <w:rFonts w:cs="Arial" w:hAnsi="Arial" w:eastAsia="Arial" w:ascii="Arial"/>
                <w:b w:val="1"/>
                <w:sz w:val="20"/>
              </w:rPr>
              <w:t xml:space="preserve">Activity 3.5:</w:t>
            </w:r>
            <w:r>
              <w:rPr>
                <w:rFonts w:cs="Arial" w:hAnsi="Arial" w:eastAsia="Arial" w:ascii="Arial"/>
                <w:sz w:val="20"/>
              </w:rPr>
              <w:t xml:space="preserve"> </w:t>
            </w:r>
            <w:r>
              <w:rPr/>
              <w:t xml:space="preserve">Marking of </w:t>
            </w:r>
          </w:p>
          <w:p>
            <w:pPr>
              <w:spacing w:before="0" w:after="0" w:line="259" w:lineRule="auto"/>
              <w:ind w:left="8" w:right="0" w:firstLine="0"/>
              <w:jc w:val="left"/>
            </w:pPr>
            <w:r>
              <w:rPr/>
              <w:t xml:space="preserve">Hiking Trails around the </w:t>
            </w:r>
          </w:p>
          <w:p>
            <w:pPr>
              <w:spacing w:before="0" w:after="0" w:line="259" w:lineRule="auto"/>
              <w:ind w:left="8" w:right="0" w:firstLine="0"/>
              <w:jc w:val="left"/>
            </w:pPr>
            <w:r>
              <w:rPr/>
              <w:t xml:space="preserve">Lake</w:t>
            </w:r>
            <w:r>
              <w:rPr>
                <w:rFonts w:cs="Arial" w:hAnsi="Arial" w:eastAsia="Arial" w:ascii="Arial"/>
                <w:sz w:val="20"/>
              </w:rPr>
              <w:t xml:space="preserve"> </w:t>
            </w:r>
          </w:p>
          <w:p>
            <w:pPr>
              <w:spacing w:before="0" w:after="0" w:line="259" w:lineRule="auto"/>
              <w:ind w:left="137" w:right="0" w:firstLine="0"/>
              <w:jc w:val="left"/>
            </w:pPr>
            <w:r>
              <w:rPr>
                <w:rFonts w:cs="Arial" w:hAnsi="Arial" w:eastAsia="Arial" w:ascii="Arial"/>
                <w:sz w:val="20"/>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4"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4"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shd w:val="clear" w:fill="bebebe"/>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54"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1652" w:type="dxa"/>
            <w:tcBorders>
              <w:top w:val="single" w:sz="4" w:color="000000"/>
              <w:left w:val="single" w:sz="4" w:color="000000"/>
              <w:bottom w:val="single" w:sz="4" w:color="000000"/>
              <w:right w:val="single" w:sz="4" w:color="000000"/>
            </w:tcBorders>
            <w:vAlign w:val="center"/>
          </w:tcPr>
          <w:p>
            <w:pPr>
              <w:spacing w:before="0" w:after="0" w:line="259" w:lineRule="auto"/>
              <w:ind w:left="2" w:right="0" w:firstLine="0"/>
              <w:jc w:val="left"/>
            </w:pPr>
            <w:r>
              <w:rPr>
                <w:rFonts w:cs="Arial" w:hAnsi="Arial" w:eastAsia="Arial" w:ascii="Arial"/>
              </w:rPr>
              <w:t xml:space="preserve">RDA </w:t>
            </w:r>
          </w:p>
          <w:p>
            <w:pPr>
              <w:spacing w:before="0" w:after="40" w:line="259" w:lineRule="auto"/>
              <w:ind w:left="2" w:right="0" w:firstLine="0"/>
              <w:jc w:val="left"/>
            </w:pPr>
            <w:r>
              <w:rPr>
                <w:rFonts w:cs="Arial" w:hAnsi="Arial" w:eastAsia="Arial" w:ascii="Arial"/>
              </w:rPr>
              <w:t xml:space="preserve">Leskovac </w:t>
            </w:r>
          </w:p>
          <w:p>
            <w:pPr>
              <w:spacing w:before="0" w:after="0" w:line="259" w:lineRule="auto"/>
              <w:ind w:left="2" w:right="0" w:firstLine="0"/>
              <w:jc w:val="left"/>
            </w:pPr>
            <w:r>
              <w:rPr>
                <w:rFonts w:cs="Arial" w:hAnsi="Arial" w:eastAsia="Arial" w:ascii="Arial"/>
              </w:rPr>
              <w:t xml:space="preserve">UNDP </w:t>
            </w:r>
          </w:p>
        </w:tc>
        <w:tc>
          <w:tcPr>
            <w:tcW w:w="1060"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1841" w:type="dxa"/>
            <w:tcBorders>
              <w:top w:val="single" w:sz="4" w:color="000000"/>
              <w:left w:val="single" w:sz="4" w:color="000000"/>
              <w:bottom w:val="single" w:sz="4" w:color="000000"/>
              <w:right w:val="single" w:sz="4" w:color="000000"/>
            </w:tcBorders>
            <w:vAlign w:val="top"/>
          </w:tcPr>
          <w:p>
            <w:pPr>
              <w:spacing w:before="0" w:after="43" w:line="259" w:lineRule="auto"/>
              <w:ind w:left="1" w:right="0" w:firstLine="0"/>
              <w:jc w:val="left"/>
            </w:pPr>
            <w:r>
              <w:rPr>
                <w:rFonts w:cs="Arial" w:hAnsi="Arial" w:eastAsia="Arial" w:ascii="Arial"/>
                <w:sz w:val="18"/>
              </w:rPr>
              <w:t xml:space="preserve">Project Coordinator </w:t>
            </w:r>
          </w:p>
          <w:p>
            <w:pPr>
              <w:spacing w:before="0" w:after="44" w:line="259" w:lineRule="auto"/>
              <w:ind w:left="1" w:right="0" w:firstLine="0"/>
              <w:jc w:val="left"/>
            </w:pPr>
            <w:r>
              <w:rPr>
                <w:rFonts w:cs="Arial" w:hAnsi="Arial" w:eastAsia="Arial" w:ascii="Arial"/>
                <w:sz w:val="18"/>
              </w:rPr>
              <w:t xml:space="preserve">Hiking trails </w:t>
            </w:r>
          </w:p>
          <w:p>
            <w:pPr>
              <w:spacing w:before="0" w:after="42" w:line="259" w:lineRule="auto"/>
              <w:ind w:left="1" w:right="0" w:firstLine="0"/>
              <w:jc w:val="left"/>
            </w:pPr>
            <w:r>
              <w:rPr>
                <w:rFonts w:cs="Arial" w:hAnsi="Arial" w:eastAsia="Arial" w:ascii="Arial"/>
                <w:sz w:val="18"/>
              </w:rPr>
              <w:t xml:space="preserve">GMS (7%) </w:t>
            </w:r>
          </w:p>
          <w:p>
            <w:pPr>
              <w:spacing w:before="0" w:after="0" w:line="259" w:lineRule="auto"/>
              <w:ind w:left="1" w:right="0" w:firstLine="0"/>
              <w:jc w:val="left"/>
            </w:pPr>
            <w:r>
              <w:rPr>
                <w:rFonts w:cs="Arial" w:hAnsi="Arial" w:eastAsia="Arial" w:ascii="Arial"/>
                <w:b w:val="1"/>
                <w:sz w:val="18"/>
              </w:rPr>
              <w:t xml:space="preserve">Total: </w:t>
            </w:r>
          </w:p>
        </w:tc>
        <w:tc>
          <w:tcPr>
            <w:tcW w:w="1726" w:type="dxa"/>
            <w:tcBorders>
              <w:top w:val="single" w:sz="4" w:color="000000"/>
              <w:left w:val="single" w:sz="4" w:color="000000"/>
              <w:bottom w:val="single" w:sz="4" w:color="000000"/>
              <w:right w:val="single" w:sz="4" w:color="000000"/>
            </w:tcBorders>
            <w:vAlign w:val="top"/>
          </w:tcPr>
          <w:p>
            <w:pPr>
              <w:spacing w:before="0" w:after="43" w:line="259" w:lineRule="auto"/>
              <w:ind w:left="0" w:right="51" w:firstLine="0"/>
              <w:jc w:val="right"/>
            </w:pPr>
            <w:r>
              <w:rPr>
                <w:rFonts w:cs="Arial" w:hAnsi="Arial" w:eastAsia="Arial" w:ascii="Arial"/>
                <w:sz w:val="18"/>
              </w:rPr>
              <w:t xml:space="preserve">5,000 </w:t>
            </w:r>
          </w:p>
          <w:p>
            <w:pPr>
              <w:spacing w:before="0" w:after="0" w:line="259" w:lineRule="auto"/>
              <w:ind w:left="762" w:right="51" w:firstLine="0"/>
              <w:jc w:val="right"/>
            </w:pPr>
            <w:r>
              <w:rPr>
                <w:rFonts w:cs="Arial" w:hAnsi="Arial" w:eastAsia="Arial" w:ascii="Arial"/>
                <w:sz w:val="18"/>
              </w:rPr>
              <w:t xml:space="preserve">5,007 700 </w:t>
            </w:r>
            <w:r>
              <w:rPr>
                <w:rFonts w:cs="Arial" w:hAnsi="Arial" w:eastAsia="Arial" w:ascii="Arial"/>
                <w:b w:val="1"/>
                <w:sz w:val="18"/>
              </w:rPr>
              <w:t xml:space="preserve">10,707 </w:t>
            </w:r>
          </w:p>
        </w:tc>
      </w:tr>
    </w:tbl>
    <w:p>
      <w:pPr>
        <w:spacing w:before="0" w:after="0" w:line="259" w:lineRule="auto"/>
        <w:ind w:left="-864" w:right="15" w:firstLine="0"/>
      </w:pPr>
    </w:p>
    <w:tbl>
      <w:tblPr>
        <w:tblStyle w:val="TableGrid"/>
        <w:tblW w:w="15439" w:type="dxa"/>
        <w:tblInd w:w="-107" w:type="dxa"/>
        <w:tblCellMar>
          <w:top w:w="0" w:type="dxa"/>
          <w:left w:w="107" w:type="dxa"/>
          <w:bottom w:w="0" w:type="dxa"/>
          <w:right w:w="7" w:type="dxa"/>
        </w:tblCellMar>
      </w:tblPr>
      <w:tblGrid>
        <w:gridCol w:w="1241"/>
        <w:gridCol w:w="2711"/>
        <w:gridCol w:w="433"/>
        <w:gridCol w:w="433"/>
        <w:gridCol w:w="432"/>
        <w:gridCol w:w="432"/>
        <w:gridCol w:w="432"/>
        <w:gridCol w:w="433"/>
        <w:gridCol w:w="431"/>
        <w:gridCol w:w="433"/>
        <w:gridCol w:w="433"/>
        <w:gridCol w:w="432"/>
        <w:gridCol w:w="432"/>
        <w:gridCol w:w="455"/>
        <w:gridCol w:w="1651"/>
        <w:gridCol w:w="1060"/>
        <w:gridCol w:w="1842"/>
        <w:gridCol w:w="1723"/>
      </w:tblGrid>
      <w:tr>
        <w:trPr>
          <w:trHeight w:val="1192" w:hRule="atLeast"/>
        </w:trPr>
        <w:tc>
          <w:tcPr>
            <w:tcW w:w="1241" w:type="dxa"/>
            <w:vMerge w:val="restart"/>
            <w:tcBorders>
              <w:top w:val="single" w:sz="4" w:color="000000"/>
              <w:left w:val="single" w:sz="4" w:color="000000"/>
              <w:bottom w:val="single" w:sz="4" w:color="000000"/>
              <w:right w:val="single" w:sz="4" w:color="000000"/>
            </w:tcBorders>
            <w:vAlign w:val="top"/>
          </w:tcPr>
          <w:p>
            <w:pPr>
              <w:spacing w:before="0" w:after="21" w:line="259" w:lineRule="auto"/>
              <w:ind w:left="0" w:right="0" w:firstLine="0"/>
              <w:jc w:val="left"/>
            </w:pPr>
            <w:r>
              <w:rPr>
                <w:rFonts w:cs="Arial" w:hAnsi="Arial" w:eastAsia="Arial" w:ascii="Arial"/>
                <w:b w:val="1"/>
              </w:rPr>
              <w:t xml:space="preserve">Output 4 </w:t>
            </w:r>
          </w:p>
          <w:p>
            <w:pPr>
              <w:spacing w:before="0" w:after="0" w:line="259" w:lineRule="auto"/>
              <w:ind w:left="0" w:right="0" w:firstLine="0"/>
              <w:jc w:val="left"/>
            </w:pPr>
            <w:r>
              <w:rPr>
                <w:rFonts w:cs="Arial" w:hAnsi="Arial" w:eastAsia="Arial" w:ascii="Arial"/>
                <w:i w:val="1"/>
                <w:sz w:val="20"/>
              </w:rPr>
              <w:t xml:space="preserve">  </w:t>
            </w:r>
          </w:p>
        </w:tc>
        <w:tc>
          <w:tcPr>
            <w:tcW w:w="2711" w:type="dxa"/>
            <w:tcBorders>
              <w:top w:val="single" w:sz="4" w:color="000000"/>
              <w:left w:val="single" w:sz="4" w:color="000000"/>
              <w:bottom w:val="single" w:sz="4" w:color="000000"/>
              <w:right w:val="single" w:sz="4" w:color="000000"/>
            </w:tcBorders>
            <w:vAlign w:val="top"/>
          </w:tcPr>
          <w:p>
            <w:pPr>
              <w:spacing w:before="0" w:after="0" w:line="259" w:lineRule="auto"/>
              <w:ind w:left="10" w:right="163" w:firstLine="0"/>
            </w:pPr>
            <w:r>
              <w:rPr>
                <w:rFonts w:cs="Arial" w:hAnsi="Arial" w:eastAsia="Arial" w:ascii="Arial"/>
                <w:b w:val="1"/>
                <w:sz w:val="20"/>
              </w:rPr>
              <w:t xml:space="preserve">Activity 4.1:</w:t>
            </w:r>
            <w:r>
              <w:rPr>
                <w:rFonts w:cs="Arial" w:hAnsi="Arial" w:eastAsia="Arial" w:ascii="Arial"/>
                <w:sz w:val="20"/>
              </w:rPr>
              <w:t xml:space="preserve"> </w:t>
            </w:r>
            <w:r>
              <w:rPr/>
              <w:t xml:space="preserve">Donation of a patrol boat to the Vlasina lake ranger service</w:t>
            </w:r>
            <w:r>
              <w:rPr>
                <w:rFonts w:cs="Arial" w:hAnsi="Arial" w:eastAsia="Arial" w:ascii="Arial"/>
                <w:sz w:val="16"/>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1"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0"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2"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55"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1651"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RDA </w:t>
            </w:r>
          </w:p>
          <w:p>
            <w:pPr>
              <w:spacing w:before="0" w:after="40" w:line="259" w:lineRule="auto"/>
              <w:ind w:left="1" w:right="0" w:firstLine="0"/>
              <w:jc w:val="left"/>
            </w:pPr>
            <w:r>
              <w:rPr>
                <w:rFonts w:cs="Arial" w:hAnsi="Arial" w:eastAsia="Arial" w:ascii="Arial"/>
              </w:rPr>
              <w:t xml:space="preserve">Leskovac </w:t>
            </w:r>
          </w:p>
          <w:p>
            <w:pPr>
              <w:spacing w:before="0" w:after="0" w:line="259" w:lineRule="auto"/>
              <w:ind w:left="1" w:right="0" w:firstLine="0"/>
              <w:jc w:val="left"/>
            </w:pPr>
            <w:r>
              <w:rPr>
                <w:rFonts w:cs="Arial" w:hAnsi="Arial" w:eastAsia="Arial" w:ascii="Arial"/>
              </w:rPr>
              <w:t xml:space="preserve">UNDP </w:t>
            </w:r>
          </w:p>
        </w:tc>
        <w:tc>
          <w:tcPr>
            <w:tcW w:w="1060"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44" w:line="259" w:lineRule="auto"/>
              <w:ind w:left="1" w:right="0" w:firstLine="0"/>
              <w:jc w:val="left"/>
            </w:pPr>
            <w:r>
              <w:rPr>
                <w:rFonts w:cs="Arial" w:hAnsi="Arial" w:eastAsia="Arial" w:ascii="Arial"/>
                <w:sz w:val="18"/>
              </w:rPr>
              <w:t xml:space="preserve">Project Coordinator </w:t>
            </w:r>
          </w:p>
          <w:p>
            <w:pPr>
              <w:spacing w:before="0" w:after="0" w:line="309" w:lineRule="auto"/>
              <w:ind w:left="1" w:right="397" w:firstLine="0"/>
              <w:jc w:val="left"/>
            </w:pPr>
            <w:r>
              <w:rPr>
                <w:rFonts w:cs="Arial" w:hAnsi="Arial" w:eastAsia="Arial" w:ascii="Arial"/>
                <w:sz w:val="18"/>
              </w:rPr>
              <w:t xml:space="preserve">Patrol boat GMS (7%) </w:t>
            </w:r>
          </w:p>
          <w:p>
            <w:pPr>
              <w:spacing w:before="0" w:after="0" w:line="259" w:lineRule="auto"/>
              <w:ind w:left="1" w:right="0" w:firstLine="0"/>
              <w:jc w:val="left"/>
            </w:pPr>
            <w:r>
              <w:rPr>
                <w:rFonts w:cs="Arial" w:hAnsi="Arial" w:eastAsia="Arial" w:ascii="Arial"/>
                <w:b w:val="1"/>
                <w:sz w:val="18"/>
              </w:rPr>
              <w:t xml:space="preserve">Total: </w:t>
            </w:r>
          </w:p>
        </w:tc>
        <w:tc>
          <w:tcPr>
            <w:tcW w:w="1723" w:type="dxa"/>
            <w:tcBorders>
              <w:top w:val="single" w:sz="4" w:color="000000"/>
              <w:left w:val="single" w:sz="4" w:color="000000"/>
              <w:bottom w:val="single" w:sz="4" w:color="000000"/>
              <w:right w:val="single" w:sz="4" w:color="000000"/>
            </w:tcBorders>
            <w:vAlign w:val="top"/>
          </w:tcPr>
          <w:p>
            <w:pPr>
              <w:spacing w:before="0" w:after="44" w:line="259" w:lineRule="auto"/>
              <w:ind w:left="0" w:right="101" w:firstLine="0"/>
              <w:jc w:val="right"/>
            </w:pPr>
            <w:r>
              <w:rPr>
                <w:rFonts w:cs="Arial" w:hAnsi="Arial" w:eastAsia="Arial" w:ascii="Arial"/>
                <w:sz w:val="18"/>
              </w:rPr>
              <w:t xml:space="preserve">3,307 </w:t>
            </w:r>
          </w:p>
          <w:p>
            <w:pPr>
              <w:spacing w:before="0" w:after="0" w:line="259" w:lineRule="auto"/>
              <w:ind w:left="760" w:right="101" w:firstLine="0"/>
              <w:jc w:val="right"/>
            </w:pPr>
            <w:r>
              <w:rPr>
                <w:rFonts w:cs="Arial" w:hAnsi="Arial" w:eastAsia="Arial" w:ascii="Arial"/>
                <w:sz w:val="18"/>
              </w:rPr>
              <w:t xml:space="preserve">7,153 732 </w:t>
            </w:r>
            <w:r>
              <w:rPr>
                <w:rFonts w:cs="Arial" w:hAnsi="Arial" w:eastAsia="Arial" w:ascii="Arial"/>
                <w:b w:val="1"/>
                <w:sz w:val="18"/>
              </w:rPr>
              <w:t xml:space="preserve">11,192 </w:t>
            </w:r>
          </w:p>
        </w:tc>
      </w:tr>
      <w:tr>
        <w:trPr>
          <w:trHeight w:val="1193" w:hRule="atLeast"/>
        </w:trPr>
        <w:tc>
          <w:tcPr>
            <w:vMerge w:val="continue"/>
            <w:tcBorders>
              <w:top w:val="nil"/>
              <w:left w:val="single" w:sz="4" w:color="000000"/>
              <w:bottom w:val="nil"/>
              <w:right w:val="single" w:sz="4" w:color="000000"/>
            </w:tcBorders>
            <w:vAlign w:val="bottom"/>
          </w:tcPr>
          <w:p>
            <w:pPr>
              <w:bidi w:val="0"/>
              <w:spacing w:before="0" w:after="160" w:line="259" w:lineRule="auto"/>
              <w:ind w:left="0" w:right="0" w:firstLine="0"/>
              <w:jc w:val="left"/>
            </w:pPr>
          </w:p>
        </w:tc>
        <w:tc>
          <w:tcPr>
            <w:tcW w:w="2711" w:type="dxa"/>
            <w:tcBorders>
              <w:top w:val="single" w:sz="4" w:color="000000"/>
              <w:left w:val="single" w:sz="4" w:color="000000"/>
              <w:bottom w:val="single" w:sz="4" w:color="000000"/>
              <w:right w:val="single" w:sz="4" w:color="000000"/>
            </w:tcBorders>
            <w:vAlign w:val="top"/>
          </w:tcPr>
          <w:p>
            <w:pPr>
              <w:spacing w:before="0" w:after="0" w:line="259" w:lineRule="auto"/>
              <w:ind w:left="10" w:right="116" w:firstLine="0"/>
            </w:pPr>
            <w:r>
              <w:rPr>
                <w:rFonts w:cs="Arial" w:hAnsi="Arial" w:eastAsia="Arial" w:ascii="Arial"/>
                <w:b w:val="1"/>
                <w:sz w:val="20"/>
              </w:rPr>
              <w:t xml:space="preserve">Activity 4.2:</w:t>
            </w:r>
            <w:r>
              <w:rPr>
                <w:rFonts w:cs="Arial" w:hAnsi="Arial" w:eastAsia="Arial" w:ascii="Arial"/>
                <w:sz w:val="20"/>
              </w:rPr>
              <w:t xml:space="preserve"> </w:t>
            </w:r>
            <w:r>
              <w:rPr/>
              <w:t xml:space="preserve">Donation of containers for public waste collection</w:t>
            </w:r>
            <w:r>
              <w:rPr>
                <w:rFonts w:cs="Arial" w:hAnsi="Arial" w:eastAsia="Arial" w:ascii="Arial"/>
                <w:i w:val="1"/>
                <w:sz w:val="20"/>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1"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0"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2"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55"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1651"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RDA </w:t>
            </w:r>
          </w:p>
          <w:p>
            <w:pPr>
              <w:spacing w:before="0" w:after="40" w:line="259" w:lineRule="auto"/>
              <w:ind w:left="1" w:right="0" w:firstLine="0"/>
              <w:jc w:val="left"/>
            </w:pPr>
            <w:r>
              <w:rPr>
                <w:rFonts w:cs="Arial" w:hAnsi="Arial" w:eastAsia="Arial" w:ascii="Arial"/>
              </w:rPr>
              <w:t xml:space="preserve">Leskovac </w:t>
            </w:r>
          </w:p>
          <w:p>
            <w:pPr>
              <w:spacing w:before="0" w:after="0" w:line="259" w:lineRule="auto"/>
              <w:ind w:left="1" w:right="0" w:firstLine="0"/>
              <w:jc w:val="left"/>
            </w:pPr>
            <w:r>
              <w:rPr>
                <w:rFonts w:cs="Arial" w:hAnsi="Arial" w:eastAsia="Arial" w:ascii="Arial"/>
              </w:rPr>
              <w:t xml:space="preserve">UNDP </w:t>
            </w:r>
          </w:p>
        </w:tc>
        <w:tc>
          <w:tcPr>
            <w:tcW w:w="1060"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44" w:line="259" w:lineRule="auto"/>
              <w:ind w:left="1" w:right="0" w:firstLine="0"/>
              <w:jc w:val="left"/>
            </w:pPr>
            <w:r>
              <w:rPr>
                <w:rFonts w:cs="Arial" w:hAnsi="Arial" w:eastAsia="Arial" w:ascii="Arial"/>
                <w:sz w:val="18"/>
              </w:rPr>
              <w:t xml:space="preserve">Project Coordinator </w:t>
            </w:r>
          </w:p>
          <w:p>
            <w:pPr>
              <w:spacing w:before="0" w:after="0" w:line="309" w:lineRule="auto"/>
              <w:ind w:left="1" w:right="0" w:firstLine="0"/>
              <w:jc w:val="left"/>
            </w:pPr>
            <w:r>
              <w:rPr>
                <w:rFonts w:cs="Arial" w:hAnsi="Arial" w:eastAsia="Arial" w:ascii="Arial"/>
                <w:sz w:val="18"/>
              </w:rPr>
              <w:t xml:space="preserve">Waste containers GMS (7%) </w:t>
            </w:r>
          </w:p>
          <w:p>
            <w:pPr>
              <w:spacing w:before="0" w:after="0" w:line="259" w:lineRule="auto"/>
              <w:ind w:left="1" w:right="0" w:firstLine="0"/>
              <w:jc w:val="left"/>
            </w:pPr>
            <w:r>
              <w:rPr>
                <w:rFonts w:cs="Arial" w:hAnsi="Arial" w:eastAsia="Arial" w:ascii="Arial"/>
                <w:b w:val="1"/>
                <w:sz w:val="18"/>
              </w:rPr>
              <w:t xml:space="preserve">Total: </w:t>
            </w:r>
          </w:p>
        </w:tc>
        <w:tc>
          <w:tcPr>
            <w:tcW w:w="1723" w:type="dxa"/>
            <w:tcBorders>
              <w:top w:val="single" w:sz="4" w:color="000000"/>
              <w:left w:val="single" w:sz="4" w:color="000000"/>
              <w:bottom w:val="single" w:sz="4" w:color="000000"/>
              <w:right w:val="single" w:sz="4" w:color="000000"/>
            </w:tcBorders>
            <w:vAlign w:val="top"/>
          </w:tcPr>
          <w:p>
            <w:pPr>
              <w:spacing w:before="0" w:after="44" w:line="259" w:lineRule="auto"/>
              <w:ind w:left="0" w:right="101" w:firstLine="0"/>
              <w:jc w:val="right"/>
            </w:pPr>
            <w:r>
              <w:rPr>
                <w:rFonts w:cs="Arial" w:hAnsi="Arial" w:eastAsia="Arial" w:ascii="Arial"/>
                <w:sz w:val="18"/>
              </w:rPr>
              <w:t xml:space="preserve">2,500 </w:t>
            </w:r>
          </w:p>
          <w:p>
            <w:pPr>
              <w:spacing w:before="0" w:after="0" w:line="259" w:lineRule="auto"/>
              <w:ind w:left="1060" w:right="0" w:firstLine="0"/>
              <w:jc w:val="left"/>
            </w:pPr>
            <w:r>
              <w:rPr>
                <w:rFonts w:cs="Arial" w:hAnsi="Arial" w:eastAsia="Arial" w:ascii="Arial"/>
                <w:sz w:val="18"/>
              </w:rPr>
              <w:t xml:space="preserve">4,292 475 </w:t>
            </w:r>
            <w:r>
              <w:rPr>
                <w:rFonts w:cs="Arial" w:hAnsi="Arial" w:eastAsia="Arial" w:ascii="Arial"/>
                <w:b w:val="1"/>
                <w:sz w:val="18"/>
              </w:rPr>
              <w:t xml:space="preserve">7,267 </w:t>
            </w:r>
          </w:p>
        </w:tc>
      </w:tr>
      <w:tr>
        <w:trPr>
          <w:trHeight w:val="1193" w:hRule="atLeast"/>
        </w:trPr>
        <w:tc>
          <w:tcPr>
            <w:vMerge w:val="continue"/>
            <w:tcBorders>
              <w:top w:val="nil"/>
              <w:left w:val="single" w:sz="4" w:color="000000"/>
              <w:bottom w:val="nil"/>
              <w:right w:val="single" w:sz="4" w:color="000000"/>
            </w:tcBorders>
            <w:vAlign w:val="bottom"/>
          </w:tcPr>
          <w:p>
            <w:pPr>
              <w:bidi w:val="0"/>
              <w:spacing w:before="0" w:after="160" w:line="259" w:lineRule="auto"/>
              <w:ind w:left="0" w:right="0" w:firstLine="0"/>
              <w:jc w:val="left"/>
            </w:pPr>
          </w:p>
        </w:tc>
        <w:tc>
          <w:tcPr>
            <w:tcW w:w="2711" w:type="dxa"/>
            <w:tcBorders>
              <w:top w:val="single" w:sz="4" w:color="000000"/>
              <w:left w:val="single" w:sz="4" w:color="000000"/>
              <w:bottom w:val="single" w:sz="4" w:color="000000"/>
              <w:right w:val="single" w:sz="4" w:color="000000"/>
            </w:tcBorders>
            <w:vAlign w:val="top"/>
          </w:tcPr>
          <w:p>
            <w:pPr>
              <w:spacing w:before="0" w:after="0" w:line="259" w:lineRule="auto"/>
              <w:ind w:left="10" w:right="0" w:firstLine="0"/>
              <w:jc w:val="left"/>
            </w:pPr>
            <w:r>
              <w:rPr>
                <w:rFonts w:cs="Arial" w:hAnsi="Arial" w:eastAsia="Arial" w:ascii="Arial"/>
                <w:b w:val="1"/>
                <w:sz w:val="20"/>
              </w:rPr>
              <w:t xml:space="preserve">Activity 4.3:</w:t>
            </w:r>
            <w:r>
              <w:rPr>
                <w:rFonts w:cs="Arial" w:hAnsi="Arial" w:eastAsia="Arial" w:ascii="Arial"/>
                <w:sz w:val="20"/>
              </w:rPr>
              <w:t xml:space="preserve"> </w:t>
            </w:r>
            <w:r>
              <w:rPr/>
              <w:t xml:space="preserve">Increasing </w:t>
            </w:r>
          </w:p>
          <w:p>
            <w:pPr>
              <w:spacing w:before="0" w:after="0" w:line="259" w:lineRule="auto"/>
              <w:ind w:left="10" w:right="0" w:firstLine="0"/>
              <w:jc w:val="left"/>
            </w:pPr>
            <w:r>
              <w:rPr/>
              <w:t xml:space="preserve">Rangers Department </w:t>
            </w:r>
          </w:p>
          <w:p>
            <w:pPr>
              <w:spacing w:before="0" w:after="0" w:line="259" w:lineRule="auto"/>
              <w:ind w:left="10" w:right="0" w:firstLine="0"/>
              <w:jc w:val="left"/>
            </w:pPr>
            <w:r>
              <w:rPr/>
              <w:t xml:space="preserve">capacities (trainings)</w:t>
            </w:r>
            <w:r>
              <w:rPr>
                <w:rFonts w:cs="Arial" w:hAnsi="Arial" w:eastAsia="Arial" w:ascii="Arial"/>
                <w:sz w:val="20"/>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1"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0"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2"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55"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1651"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RDA </w:t>
            </w:r>
          </w:p>
          <w:p>
            <w:pPr>
              <w:spacing w:before="0" w:after="40" w:line="259" w:lineRule="auto"/>
              <w:ind w:left="1" w:right="0" w:firstLine="0"/>
              <w:jc w:val="left"/>
            </w:pPr>
            <w:r>
              <w:rPr>
                <w:rFonts w:cs="Arial" w:hAnsi="Arial" w:eastAsia="Arial" w:ascii="Arial"/>
              </w:rPr>
              <w:t xml:space="preserve">Leskovac </w:t>
            </w:r>
          </w:p>
          <w:p>
            <w:pPr>
              <w:spacing w:before="0" w:after="0" w:line="259" w:lineRule="auto"/>
              <w:ind w:left="1" w:right="0" w:firstLine="0"/>
              <w:jc w:val="left"/>
            </w:pPr>
            <w:r>
              <w:rPr>
                <w:rFonts w:cs="Arial" w:hAnsi="Arial" w:eastAsia="Arial" w:ascii="Arial"/>
              </w:rPr>
              <w:t xml:space="preserve">UNDP </w:t>
            </w:r>
          </w:p>
        </w:tc>
        <w:tc>
          <w:tcPr>
            <w:tcW w:w="1060"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44" w:line="259" w:lineRule="auto"/>
              <w:ind w:left="1" w:right="0" w:firstLine="0"/>
              <w:jc w:val="left"/>
            </w:pPr>
            <w:r>
              <w:rPr>
                <w:rFonts w:cs="Arial" w:hAnsi="Arial" w:eastAsia="Arial" w:ascii="Arial"/>
                <w:sz w:val="18"/>
              </w:rPr>
              <w:t xml:space="preserve">Project Coordinator </w:t>
            </w:r>
          </w:p>
          <w:p>
            <w:pPr>
              <w:spacing w:before="0" w:after="0" w:line="309" w:lineRule="auto"/>
              <w:ind w:left="1" w:right="527" w:firstLine="0"/>
              <w:jc w:val="left"/>
            </w:pPr>
            <w:r>
              <w:rPr>
                <w:rFonts w:cs="Arial" w:hAnsi="Arial" w:eastAsia="Arial" w:ascii="Arial"/>
                <w:sz w:val="18"/>
              </w:rPr>
              <w:t xml:space="preserve">Trainings GMS (7%) </w:t>
            </w:r>
          </w:p>
          <w:p>
            <w:pPr>
              <w:spacing w:before="0" w:after="0" w:line="259" w:lineRule="auto"/>
              <w:ind w:left="1" w:right="0" w:firstLine="0"/>
              <w:jc w:val="left"/>
            </w:pPr>
            <w:r>
              <w:rPr>
                <w:rFonts w:cs="Arial" w:hAnsi="Arial" w:eastAsia="Arial" w:ascii="Arial"/>
                <w:b w:val="1"/>
                <w:sz w:val="18"/>
              </w:rPr>
              <w:t xml:space="preserve">Total: </w:t>
            </w:r>
          </w:p>
        </w:tc>
        <w:tc>
          <w:tcPr>
            <w:tcW w:w="1723" w:type="dxa"/>
            <w:tcBorders>
              <w:top w:val="single" w:sz="4" w:color="000000"/>
              <w:left w:val="single" w:sz="4" w:color="000000"/>
              <w:bottom w:val="single" w:sz="4" w:color="000000"/>
              <w:right w:val="single" w:sz="4" w:color="000000"/>
            </w:tcBorders>
            <w:vAlign w:val="top"/>
          </w:tcPr>
          <w:p>
            <w:pPr>
              <w:spacing w:before="0" w:after="44" w:line="259" w:lineRule="auto"/>
              <w:ind w:left="0" w:right="101" w:firstLine="0"/>
              <w:jc w:val="right"/>
            </w:pPr>
            <w:r>
              <w:rPr>
                <w:rFonts w:cs="Arial" w:hAnsi="Arial" w:eastAsia="Arial" w:ascii="Arial"/>
                <w:sz w:val="18"/>
              </w:rPr>
              <w:t xml:space="preserve">2,500 </w:t>
            </w:r>
          </w:p>
          <w:p>
            <w:pPr>
              <w:spacing w:before="0" w:after="0" w:line="259" w:lineRule="auto"/>
              <w:ind w:left="1060" w:right="0" w:firstLine="0"/>
              <w:jc w:val="left"/>
            </w:pPr>
            <w:r>
              <w:rPr>
                <w:rFonts w:cs="Arial" w:hAnsi="Arial" w:eastAsia="Arial" w:ascii="Arial"/>
                <w:sz w:val="18"/>
              </w:rPr>
              <w:t xml:space="preserve">4,292 475 </w:t>
            </w:r>
            <w:r>
              <w:rPr>
                <w:rFonts w:cs="Arial" w:hAnsi="Arial" w:eastAsia="Arial" w:ascii="Arial"/>
                <w:b w:val="1"/>
                <w:sz w:val="18"/>
              </w:rPr>
              <w:t xml:space="preserve">7,267 </w:t>
            </w:r>
          </w:p>
        </w:tc>
      </w:tr>
      <w:tr>
        <w:trPr>
          <w:trHeight w:val="1417" w:hRule="atLeast"/>
        </w:trPr>
        <w:tc>
          <w:tcPr>
            <w:vMerge w:val="continue"/>
            <w:tcBorders>
              <w:top w:val="nil"/>
              <w:left w:val="single" w:sz="4" w:color="000000"/>
              <w:bottom w:val="single" w:sz="4" w:color="000000"/>
              <w:right w:val="single" w:sz="4" w:color="000000"/>
            </w:tcBorders>
            <w:vAlign w:val="bottom"/>
          </w:tcPr>
          <w:p>
            <w:pPr>
              <w:bidi w:val="0"/>
              <w:spacing w:before="0" w:after="160" w:line="259" w:lineRule="auto"/>
              <w:ind w:left="0" w:right="0" w:firstLine="0"/>
              <w:jc w:val="left"/>
            </w:pPr>
          </w:p>
        </w:tc>
        <w:tc>
          <w:tcPr>
            <w:tcW w:w="2711" w:type="dxa"/>
            <w:tcBorders>
              <w:top w:val="single" w:sz="4" w:color="000000"/>
              <w:left w:val="single" w:sz="4" w:color="000000"/>
              <w:bottom w:val="single" w:sz="4" w:color="000000"/>
              <w:right w:val="single" w:sz="4" w:color="000000"/>
            </w:tcBorders>
            <w:vAlign w:val="top"/>
          </w:tcPr>
          <w:p>
            <w:pPr>
              <w:spacing w:before="0" w:after="0" w:line="259" w:lineRule="auto"/>
              <w:ind w:left="10" w:right="282" w:firstLine="0"/>
            </w:pPr>
            <w:r>
              <w:rPr>
                <w:rFonts w:cs="Arial" w:hAnsi="Arial" w:eastAsia="Arial" w:ascii="Arial"/>
                <w:b w:val="1"/>
                <w:sz w:val="20"/>
              </w:rPr>
              <w:t xml:space="preserve">Activity 4.4:</w:t>
            </w:r>
            <w:r>
              <w:rPr>
                <w:rFonts w:cs="Arial" w:hAnsi="Arial" w:eastAsia="Arial" w:ascii="Arial"/>
                <w:sz w:val="20"/>
              </w:rPr>
              <w:t xml:space="preserve"> </w:t>
            </w:r>
            <w:r>
              <w:rPr/>
              <w:t xml:space="preserve">Donation of equipment to the Construction Land Office and Rangers Department</w:t>
            </w:r>
            <w:r>
              <w:rPr>
                <w:rFonts w:cs="Arial" w:hAnsi="Arial" w:eastAsia="Arial" w:ascii="Arial"/>
                <w:sz w:val="20"/>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431"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0"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shd w:val="clear" w:fill="bebebe"/>
            <w:vAlign w:val="center"/>
          </w:tcPr>
          <w:p>
            <w:pPr>
              <w:spacing w:before="0" w:after="0" w:line="259" w:lineRule="auto"/>
              <w:ind w:left="1" w:right="0" w:firstLine="0"/>
              <w:jc w:val="left"/>
            </w:pPr>
            <w:r>
              <w:rPr>
                <w:rFonts w:cs="Arial" w:hAnsi="Arial" w:eastAsia="Arial" w:ascii="Arial"/>
              </w:rPr>
              <w:t xml:space="preserve"> </w:t>
            </w:r>
          </w:p>
        </w:tc>
        <w:tc>
          <w:tcPr>
            <w:tcW w:w="433" w:type="dxa"/>
            <w:tcBorders>
              <w:top w:val="single" w:sz="4" w:color="000000"/>
              <w:left w:val="single" w:sz="4" w:color="000000"/>
              <w:bottom w:val="single" w:sz="4" w:color="000000"/>
              <w:right w:val="single" w:sz="4" w:color="000000"/>
            </w:tcBorders>
            <w:vAlign w:val="top"/>
          </w:tcPr>
          <w:p>
            <w:pPr>
              <w:spacing w:before="0" w:after="0" w:line="259" w:lineRule="auto"/>
              <w:ind w:left="2"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3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455"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 </w:t>
            </w:r>
          </w:p>
        </w:tc>
        <w:tc>
          <w:tcPr>
            <w:tcW w:w="1651"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RDA </w:t>
            </w:r>
          </w:p>
          <w:p>
            <w:pPr>
              <w:spacing w:before="0" w:after="40" w:line="259" w:lineRule="auto"/>
              <w:ind w:left="1" w:right="0" w:firstLine="0"/>
              <w:jc w:val="left"/>
            </w:pPr>
            <w:r>
              <w:rPr>
                <w:rFonts w:cs="Arial" w:hAnsi="Arial" w:eastAsia="Arial" w:ascii="Arial"/>
              </w:rPr>
              <w:t xml:space="preserve">Leskovac </w:t>
            </w:r>
          </w:p>
          <w:p>
            <w:pPr>
              <w:spacing w:before="0" w:after="0" w:line="259" w:lineRule="auto"/>
              <w:ind w:left="1" w:right="0" w:firstLine="0"/>
              <w:jc w:val="left"/>
            </w:pPr>
            <w:r>
              <w:rPr>
                <w:rFonts w:cs="Arial" w:hAnsi="Arial" w:eastAsia="Arial" w:ascii="Arial"/>
              </w:rPr>
              <w:t xml:space="preserve">UNDP </w:t>
            </w:r>
          </w:p>
        </w:tc>
        <w:tc>
          <w:tcPr>
            <w:tcW w:w="1060"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Arial" w:hAnsi="Arial" w:eastAsia="Arial" w:ascii="Arial"/>
              </w:rPr>
              <w:t xml:space="preserve"> </w:t>
            </w:r>
          </w:p>
        </w:tc>
        <w:tc>
          <w:tcPr>
            <w:tcW w:w="1842" w:type="dxa"/>
            <w:tcBorders>
              <w:top w:val="single" w:sz="4" w:color="000000"/>
              <w:left w:val="single" w:sz="4" w:color="000000"/>
              <w:bottom w:val="single" w:sz="4" w:color="000000"/>
              <w:right w:val="single" w:sz="4" w:color="000000"/>
            </w:tcBorders>
            <w:vAlign w:val="top"/>
          </w:tcPr>
          <w:p>
            <w:pPr>
              <w:spacing w:before="0" w:after="44" w:line="259" w:lineRule="auto"/>
              <w:ind w:left="1" w:right="0" w:firstLine="0"/>
              <w:jc w:val="left"/>
            </w:pPr>
            <w:r>
              <w:rPr>
                <w:rFonts w:cs="Arial" w:hAnsi="Arial" w:eastAsia="Arial" w:ascii="Arial"/>
                <w:sz w:val="18"/>
              </w:rPr>
              <w:t xml:space="preserve">Project Coordinator </w:t>
            </w:r>
          </w:p>
          <w:p>
            <w:pPr>
              <w:spacing w:before="0" w:after="43" w:line="259" w:lineRule="auto"/>
              <w:ind w:left="1" w:right="0" w:firstLine="0"/>
              <w:jc w:val="left"/>
            </w:pPr>
            <w:r>
              <w:rPr>
                <w:rFonts w:cs="Arial" w:hAnsi="Arial" w:eastAsia="Arial" w:ascii="Arial"/>
                <w:sz w:val="18"/>
              </w:rPr>
              <w:t xml:space="preserve">Equipment </w:t>
            </w:r>
          </w:p>
          <w:p>
            <w:pPr>
              <w:spacing w:before="0" w:after="44" w:line="259" w:lineRule="auto"/>
              <w:ind w:left="1" w:right="0" w:firstLine="0"/>
              <w:jc w:val="left"/>
            </w:pPr>
            <w:r>
              <w:rPr>
                <w:rFonts w:cs="Arial" w:hAnsi="Arial" w:eastAsia="Arial" w:ascii="Arial"/>
                <w:sz w:val="18"/>
              </w:rPr>
              <w:t xml:space="preserve">Audit </w:t>
            </w:r>
          </w:p>
          <w:p>
            <w:pPr>
              <w:spacing w:before="0" w:after="42" w:line="259" w:lineRule="auto"/>
              <w:ind w:left="1" w:right="0" w:firstLine="0"/>
              <w:jc w:val="left"/>
            </w:pPr>
            <w:r>
              <w:rPr>
                <w:rFonts w:cs="Arial" w:hAnsi="Arial" w:eastAsia="Arial" w:ascii="Arial"/>
                <w:sz w:val="18"/>
              </w:rPr>
              <w:t xml:space="preserve">GMS (7%) </w:t>
            </w:r>
          </w:p>
          <w:p>
            <w:pPr>
              <w:spacing w:before="0" w:after="0" w:line="259" w:lineRule="auto"/>
              <w:ind w:left="1" w:right="0" w:firstLine="0"/>
              <w:jc w:val="left"/>
            </w:pPr>
            <w:r>
              <w:rPr>
                <w:rFonts w:cs="Arial" w:hAnsi="Arial" w:eastAsia="Arial" w:ascii="Arial"/>
                <w:b w:val="1"/>
                <w:sz w:val="18"/>
              </w:rPr>
              <w:t xml:space="preserve">Total: </w:t>
            </w:r>
          </w:p>
        </w:tc>
        <w:tc>
          <w:tcPr>
            <w:tcW w:w="1723" w:type="dxa"/>
            <w:tcBorders>
              <w:top w:val="single" w:sz="4" w:color="000000"/>
              <w:left w:val="single" w:sz="4" w:color="000000"/>
              <w:bottom w:val="single" w:sz="4" w:color="000000"/>
              <w:right w:val="single" w:sz="4" w:color="000000"/>
            </w:tcBorders>
            <w:vAlign w:val="top"/>
          </w:tcPr>
          <w:p>
            <w:pPr>
              <w:spacing w:before="0" w:after="44" w:line="259" w:lineRule="auto"/>
              <w:ind w:left="0" w:right="101" w:firstLine="0"/>
              <w:jc w:val="right"/>
            </w:pPr>
            <w:r>
              <w:rPr>
                <w:rFonts w:cs="Arial" w:hAnsi="Arial" w:eastAsia="Arial" w:ascii="Arial"/>
                <w:sz w:val="18"/>
              </w:rPr>
              <w:t xml:space="preserve">2,500 </w:t>
            </w:r>
          </w:p>
          <w:p>
            <w:pPr>
              <w:spacing w:before="0" w:after="43" w:line="259" w:lineRule="auto"/>
              <w:ind w:left="0" w:right="101" w:firstLine="0"/>
              <w:jc w:val="right"/>
            </w:pPr>
            <w:r>
              <w:rPr>
                <w:rFonts w:cs="Arial" w:hAnsi="Arial" w:eastAsia="Arial" w:ascii="Arial"/>
                <w:sz w:val="18"/>
              </w:rPr>
              <w:t xml:space="preserve">7,153 </w:t>
            </w:r>
          </w:p>
          <w:p>
            <w:pPr>
              <w:spacing w:before="0" w:after="0" w:line="310" w:lineRule="auto"/>
              <w:ind w:left="1210" w:right="0" w:hanging="150"/>
              <w:jc w:val="left"/>
            </w:pPr>
            <w:r>
              <w:rPr>
                <w:rFonts w:cs="Arial" w:hAnsi="Arial" w:eastAsia="Arial" w:ascii="Arial"/>
                <w:sz w:val="18"/>
              </w:rPr>
              <w:t xml:space="preserve">1,000 746 </w:t>
            </w:r>
          </w:p>
          <w:p>
            <w:pPr>
              <w:spacing w:before="0" w:after="0" w:line="259" w:lineRule="auto"/>
              <w:ind w:left="0" w:right="100" w:firstLine="0"/>
              <w:jc w:val="right"/>
            </w:pPr>
            <w:r>
              <w:rPr>
                <w:rFonts w:cs="Arial" w:hAnsi="Arial" w:eastAsia="Arial" w:ascii="Arial"/>
                <w:b w:val="1"/>
                <w:sz w:val="18"/>
              </w:rPr>
              <w:t xml:space="preserve">11,399  </w:t>
            </w:r>
          </w:p>
        </w:tc>
      </w:tr>
      <w:tr>
        <w:trPr>
          <w:trHeight w:val="322" w:hRule="atLeast"/>
        </w:trPr>
        <w:tc>
          <w:tcPr>
            <w:tcW w:w="1241"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0" w:right="0" w:firstLine="0"/>
              <w:jc w:val="left"/>
            </w:pPr>
            <w:r>
              <w:rPr>
                <w:rFonts w:cs="Arial" w:hAnsi="Arial" w:eastAsia="Arial" w:ascii="Arial"/>
                <w:b w:val="1"/>
              </w:rPr>
              <w:t xml:space="preserve">TOTAL </w:t>
            </w:r>
          </w:p>
        </w:tc>
        <w:tc>
          <w:tcPr>
            <w:tcW w:w="12475" w:type="dxa"/>
            <w:gridSpan w:val="16"/>
            <w:tcBorders>
              <w:top w:val="single" w:sz="4" w:color="000000"/>
              <w:left w:val="single" w:sz="4" w:color="000000"/>
              <w:bottom w:val="single" w:sz="4" w:color="000000"/>
              <w:right w:val="single" w:sz="4" w:color="000000"/>
            </w:tcBorders>
            <w:vAlign w:val="top"/>
          </w:tcPr>
          <w:p>
            <w:pPr>
              <w:spacing w:before="0" w:after="0" w:line="259" w:lineRule="auto"/>
              <w:ind w:left="2" w:right="0" w:firstLine="0"/>
              <w:jc w:val="left"/>
            </w:pPr>
            <w:r>
              <w:rPr>
                <w:rFonts w:cs="Arial" w:hAnsi="Arial" w:eastAsia="Arial" w:ascii="Arial"/>
                <w:b w:val="1"/>
              </w:rPr>
              <w:t xml:space="preserve"> </w:t>
            </w:r>
          </w:p>
        </w:tc>
        <w:tc>
          <w:tcPr>
            <w:tcW w:w="1723"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0" w:right="100" w:firstLine="0"/>
              <w:jc w:val="right"/>
            </w:pPr>
            <w:r>
              <w:rPr>
                <w:rFonts w:cs="Arial" w:hAnsi="Arial" w:eastAsia="Arial" w:ascii="Arial"/>
                <w:b w:val="1"/>
              </w:rPr>
              <w:t xml:space="preserve">USD 217,602 </w:t>
            </w:r>
          </w:p>
        </w:tc>
      </w:tr>
    </w:tbl>
    <w:p>
      <w:pPr>
        <w:sectPr>
          <w:footerReference w:type="even" r:id="rId9"/>
          <w:footerReference w:type="default" r:id="rId8"/>
          <w:footerReference w:type="first" r:id="rId7"/>
          <w:footnotePr>
            <w:numRestart w:val="eachPage"/>
          </w:footnotePr>
          <w:pgSz w:w="16840" w:h="11900" w:orient="landscape"/>
          <w:pgMar w:left="864" w:top="706" w:right="629" w:bottom="488"/>
          <w:pgNumType w:fmt="decimal"/>
          <w:cols/>
          <w:titlePg/>
        </w:sectPr>
      </w:pPr>
    </w:p>
    <w:p>
      <w:pPr>
        <w:spacing w:before="0" w:after="40" w:line="259" w:lineRule="auto"/>
        <w:ind w:left="1" w:right="0" w:firstLine="0"/>
        <w:jc w:val="left"/>
      </w:pPr>
      <w:r>
        <w:rPr>
          <w:rFonts w:cs="Arial" w:hAnsi="Arial" w:eastAsia="Arial" w:ascii="Arial"/>
          <w:b w:val="1"/>
        </w:rPr>
        <w:t xml:space="preserve"> </w:t>
      </w:r>
    </w:p>
    <w:p>
      <w:pPr>
        <w:spacing w:before="0" w:after="0" w:line="259" w:lineRule="auto"/>
        <w:ind w:left="1" w:right="0" w:firstLine="0"/>
        <w:jc w:val="left"/>
      </w:pPr>
      <w:r>
        <w:rPr>
          <w:rFonts w:cs="Arial" w:hAnsi="Arial" w:eastAsia="Arial" w:ascii="Arial"/>
          <w:b w:val="1"/>
        </w:rPr>
        <w:t xml:space="preserve"> </w:t>
      </w:r>
    </w:p>
    <w:p>
      <w:pPr>
        <w:spacing w:before="0" w:after="96" w:line="259" w:lineRule="auto"/>
        <w:ind w:left="-29" w:right="0" w:firstLine="0"/>
        <w:jc w:val="left"/>
      </w:pPr>
      <w:r>
        <w:rPr>
          <w:rFonts w:cs="Calibri" w:hAnsi="Calibri" w:eastAsia="Calibri" w:ascii="Calibri"/>
          <w:sz w:val="22"/>
        </w:rPr>
        <w:drawing>
          <wp:inline distT="0" distB="0" distL="0" distR="0">
            <wp:extent cx="6135624" cy="6096"/>
            <wp:docPr id="67675" name="Group 67675"/>
            <wp:cNvGraphicFramePr/>
            <a:graphic>
              <a:graphicData uri="http://schemas.microsoft.com/office/word/2010/wordprocessingGroup">
                <wpg:wgp>
                  <wpg:cNvGrpSpPr/>
                  <wpg:grpSpPr>
                    <a:xfrm>
                      <a:off x="0" y="0"/>
                      <a:ext cx="6135624" cy="6096"/>
                      <a:chOff x="0" y="0"/>
                      <a:chExt cx="6135624" cy="6096"/>
                    </a:xfrm>
                  </wpg:grpSpPr>
                  <wps:wsp>
                    <wps:cNvPr id="81170" name="Shape 81170"/>
                    <wps:cNvSpPr/>
                    <wps:spPr>
                      <a:xfrm>
                        <a:off x="0" y="0"/>
                        <a:ext cx="6135624" cy="9144"/>
                      </a:xfrm>
                      <a:custGeom>
                        <a:pathLst>
                          <a:path w="6135624" h="9144">
                            <a:moveTo>
                              <a:pt x="0" y="0"/>
                            </a:moveTo>
                            <a:lnTo>
                              <a:pt x="6135624" y="0"/>
                            </a:lnTo>
                            <a:lnTo>
                              <a:pt x="613562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pStyle w:val="heading4"/>
        <w:tabs>
          <w:tab w:val="center" w:pos="1550"/>
        </w:tabs>
        <w:spacing w:before="0" w:after="206" w:line="259" w:lineRule="auto"/>
        <w:ind w:left="-14" w:firstLine="0"/>
      </w:pPr>
      <w:r>
        <w:rPr>
          <w:sz w:val="28"/>
        </w:rPr>
        <w:t xml:space="preserve">V.</w:t>
      </w:r>
      <w:r>
        <w:rPr>
          <w:rFonts w:cs="Arial" w:hAnsi="Arial" w:eastAsia="Arial" w:ascii="Arial"/>
          <w:sz w:val="28"/>
        </w:rPr>
        <w:t xml:space="preserve"> 	</w:t>
      </w:r>
      <w:r>
        <w:rPr>
          <w:sz w:val="28"/>
        </w:rPr>
        <w:t xml:space="preserve">L</w:t>
      </w:r>
      <w:r>
        <w:rPr/>
        <w:t xml:space="preserve">EGAL </w:t>
      </w:r>
      <w:r>
        <w:rPr>
          <w:sz w:val="28"/>
        </w:rPr>
        <w:t xml:space="preserve">C</w:t>
      </w:r>
      <w:r>
        <w:rPr/>
        <w:t xml:space="preserve">ONTEXT</w:t>
      </w:r>
      <w:r>
        <w:rPr>
          <w:sz w:val="28"/>
        </w:rPr>
        <w:t xml:space="preserve"> </w:t>
      </w:r>
    </w:p>
    <w:p>
      <w:pPr>
        <w:pStyle w:val="normal"/>
        <w:spacing w:before="0" w:after="55" w:line="228" w:lineRule="auto"/>
        <w:ind w:left="-4" w:right="48"/>
      </w:pPr>
      <w:r>
        <w:rPr/>
        <w:t xml:space="preserve">This document together with the CPD signed by the Government and UNDP which is incorporated by reference constitute together a Project Document as referred to in the SBAA [or other appropriate governing agreement] and all CPD provisions apply to this document.   </w:t>
      </w:r>
    </w:p>
    <w:p>
      <w:pPr>
        <w:pStyle w:val="normal"/>
        <w:spacing w:before="0" w:after="55" w:line="228" w:lineRule="auto"/>
        <w:ind w:left="-4" w:right="48"/>
      </w:pPr>
      <w:r>
        <w:rPr/>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pPr>
        <w:pStyle w:val="normal"/>
        <w:spacing w:before="0" w:after="133" w:line="228" w:lineRule="auto"/>
        <w:ind w:left="-4" w:right="48"/>
      </w:pPr>
      <w:r>
        <w:rPr/>
        <w:t xml:space="preserve">The implementing partner shall: </w:t>
      </w:r>
    </w:p>
    <w:p>
      <w:pPr>
        <w:pStyle w:val="normal"/>
        <w:numPr>
          <w:ilvl w:val="0"/>
          <w:numId w:val="10"/>
        </w:numPr>
        <w:spacing w:before="0" w:after="79" w:line="228" w:lineRule="auto"/>
        <w:ind w:left="360" w:right="48" w:hanging="360"/>
      </w:pPr>
      <w:r>
        <w:rPr/>
        <w:t xml:space="preserve">Put in place an appropriate security plan and maintain the security plan, taking into account the security situation in the country where the project is being carried; </w:t>
      </w:r>
    </w:p>
    <w:p>
      <w:pPr>
        <w:pStyle w:val="normal"/>
        <w:numPr>
          <w:ilvl w:val="0"/>
          <w:numId w:val="10"/>
        </w:numPr>
        <w:spacing w:before="0" w:after="55" w:line="228" w:lineRule="auto"/>
        <w:ind w:left="360" w:right="48" w:hanging="360"/>
      </w:pPr>
      <w:r>
        <w:rPr/>
        <w:t xml:space="preserve">Assume all risks and liabilities related to the implementing partner’s security, and the full implementation of the security plan. </w:t>
      </w:r>
    </w:p>
    <w:p>
      <w:pPr>
        <w:pStyle w:val="normal"/>
        <w:spacing w:before="0" w:after="55" w:line="228" w:lineRule="auto"/>
        <w:ind w:left="-4" w:right="48"/>
      </w:pPr>
      <w:r>
        <w:rPr/>
        <w:t xml:space="preserve">UNDP reserves the right to verify whether such a plan is in place, and to suggest modifications to the plan when necessary. Failure to maintain and implement an appropriate security plan as required hereunder shall be deemed a breach of this agreement. </w:t>
      </w:r>
    </w:p>
    <w:p>
      <w:pPr>
        <w:pStyle w:val="normal"/>
        <w:spacing w:before="0" w:after="55" w:line="228" w:lineRule="auto"/>
        <w:ind w:left="-4" w:right="48"/>
      </w:pPr>
      <w:r>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r>
        <w:rPr>
          <w:u w:val="single" w:color="000000"/>
        </w:rPr>
        <w:t xml:space="preserve">http://www.un.org/Docs/sc/committees/1267/1267ListEng.htm</w:t>
      </w:r>
      <w:r>
        <w:rPr/>
        <w:t xml:space="preserve">.  </w:t>
      </w:r>
    </w:p>
    <w:p>
      <w:pPr>
        <w:pStyle w:val="normal"/>
        <w:spacing w:before="0" w:after="113" w:line="228" w:lineRule="auto"/>
        <w:ind w:left="-4" w:right="48"/>
      </w:pPr>
      <w:r>
        <w:rPr/>
        <w:t xml:space="preserve">This provision must be included in all sub-contracts or sub-agreements entered into under this Project Document.  </w:t>
      </w:r>
    </w:p>
    <w:p>
      <w:pPr>
        <w:spacing w:before="0" w:after="0" w:line="259" w:lineRule="auto"/>
        <w:ind w:left="1" w:right="0" w:firstLine="0"/>
        <w:jc w:val="left"/>
      </w:pPr>
      <w:r>
        <w:rPr>
          <w:rFonts w:cs="Calibri" w:hAnsi="Calibri" w:eastAsia="Calibri" w:ascii="Calibri"/>
          <w:b w:val="1"/>
          <w:sz w:val="28"/>
        </w:rPr>
        <w:t xml:space="preserve"> </w:t>
      </w:r>
    </w:p>
    <w:p>
      <w:pPr>
        <w:spacing w:before="0" w:after="144" w:line="259" w:lineRule="auto"/>
        <w:ind w:left="-29" w:right="0" w:firstLine="0"/>
        <w:jc w:val="left"/>
      </w:pPr>
      <w:r>
        <w:rPr>
          <w:rFonts w:cs="Calibri" w:hAnsi="Calibri" w:eastAsia="Calibri" w:ascii="Calibri"/>
          <w:sz w:val="22"/>
        </w:rPr>
        <w:drawing>
          <wp:inline distT="0" distB="0" distL="0" distR="0">
            <wp:extent cx="6135624" cy="6096"/>
            <wp:docPr id="67676" name="Group 67676"/>
            <wp:cNvGraphicFramePr/>
            <a:graphic>
              <a:graphicData uri="http://schemas.microsoft.com/office/word/2010/wordprocessingGroup">
                <wpg:wgp>
                  <wpg:cNvGrpSpPr/>
                  <wpg:grpSpPr>
                    <a:xfrm>
                      <a:off x="0" y="0"/>
                      <a:ext cx="6135624" cy="6096"/>
                      <a:chOff x="0" y="0"/>
                      <a:chExt cx="6135624" cy="6096"/>
                    </a:xfrm>
                  </wpg:grpSpPr>
                  <wps:wsp>
                    <wps:cNvPr id="81171" name="Shape 81171"/>
                    <wps:cNvSpPr/>
                    <wps:spPr>
                      <a:xfrm>
                        <a:off x="0" y="0"/>
                        <a:ext cx="6135624" cy="9144"/>
                      </a:xfrm>
                      <a:custGeom>
                        <a:pathLst>
                          <a:path w="6135624" h="9144">
                            <a:moveTo>
                              <a:pt x="0" y="0"/>
                            </a:moveTo>
                            <a:lnTo>
                              <a:pt x="6135624" y="0"/>
                            </a:lnTo>
                            <a:lnTo>
                              <a:pt x="613562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pStyle w:val="heading4"/>
        <w:tabs>
          <w:tab w:val="center" w:pos="2034"/>
        </w:tabs>
        <w:spacing w:before="0" w:after="0" w:line="259" w:lineRule="auto"/>
        <w:ind w:left="-14" w:firstLine="0"/>
      </w:pPr>
      <w:r>
        <w:rPr>
          <w:sz w:val="28"/>
        </w:rPr>
        <w:t xml:space="preserve">IV.</w:t>
      </w:r>
      <w:r>
        <w:rPr>
          <w:rFonts w:cs="Calibri" w:hAnsi="Calibri" w:eastAsia="Calibri" w:ascii="Calibri"/>
          <w:b w:val="0"/>
        </w:rPr>
        <w:t xml:space="preserve"> 	</w:t>
      </w:r>
      <w:r>
        <w:rPr>
          <w:sz w:val="28"/>
        </w:rPr>
        <w:t xml:space="preserve">D</w:t>
      </w:r>
      <w:r>
        <w:rPr/>
        <w:t xml:space="preserve">EVELOPMENT </w:t>
      </w:r>
      <w:r>
        <w:rPr>
          <w:sz w:val="28"/>
        </w:rPr>
        <w:t xml:space="preserve">P</w:t>
      </w:r>
      <w:r>
        <w:rPr/>
        <w:t xml:space="preserve">ARTNERS</w:t>
      </w:r>
      <w:r>
        <w:rPr>
          <w:rFonts w:cs="Calibri" w:hAnsi="Calibri" w:eastAsia="Calibri" w:ascii="Calibri"/>
          <w:b w:val="0"/>
        </w:rPr>
        <w:t xml:space="preserve"> </w:t>
      </w:r>
    </w:p>
    <w:p>
      <w:pPr>
        <w:pStyle w:val="normal"/>
        <w:spacing w:before="0" w:after="204" w:line="228" w:lineRule="auto"/>
        <w:ind w:left="-4" w:right="48"/>
      </w:pPr>
      <w:r>
        <w:rPr/>
        <w:t xml:space="preserve">The following development partners are active (or have been active) in the Vlasina Lake area/Surdulica Municipality: </w:t>
      </w:r>
    </w:p>
    <w:p>
      <w:pPr>
        <w:pStyle w:val="normal"/>
        <w:numPr>
          <w:ilvl w:val="0"/>
          <w:numId w:val="11"/>
        </w:numPr>
        <w:spacing w:before="0" w:after="174" w:line="228" w:lineRule="auto"/>
        <w:ind w:left="427" w:right="48" w:hanging="284"/>
      </w:pPr>
      <w:r>
        <w:rPr/>
        <w:t xml:space="preserve">The PBILD Joint UN programme for South Serbia. </w:t>
      </w:r>
    </w:p>
    <w:p>
      <w:pPr>
        <w:pStyle w:val="normal"/>
        <w:numPr>
          <w:ilvl w:val="0"/>
          <w:numId w:val="11"/>
        </w:numPr>
        <w:spacing w:before="0" w:after="206" w:line="228" w:lineRule="auto"/>
        <w:ind w:left="427" w:right="48" w:hanging="284"/>
      </w:pPr>
      <w:r>
        <w:rPr/>
        <w:t xml:space="preserve">Austrian Development Agency through CRJPR/RDA Leskovac with its support to regional socioeconomic development.  </w:t>
      </w:r>
    </w:p>
    <w:p>
      <w:pPr>
        <w:pStyle w:val="normal"/>
        <w:numPr>
          <w:ilvl w:val="0"/>
          <w:numId w:val="11"/>
        </w:numPr>
        <w:spacing w:before="0" w:after="205" w:line="228" w:lineRule="auto"/>
        <w:ind w:left="427" w:right="48" w:hanging="284"/>
      </w:pPr>
      <w:r>
        <w:rPr/>
        <w:t xml:space="preserve">Municipal Infrastructure Support Programme – MISP, financed by the European Union, with a complete and comprehensive technical and economic feasibility study for the Vlasina lake tourism development </w:t>
      </w:r>
    </w:p>
    <w:p>
      <w:pPr>
        <w:pStyle w:val="normal"/>
        <w:numPr>
          <w:ilvl w:val="0"/>
          <w:numId w:val="11"/>
        </w:numPr>
        <w:spacing w:before="0" w:after="174" w:line="228" w:lineRule="auto"/>
        <w:ind w:left="427" w:right="48" w:hanging="284"/>
      </w:pPr>
      <w:r>
        <w:rPr/>
        <w:t xml:space="preserve">The Belgrade Fund for Political Excellence (BFPE) with its Municipal Support Project. </w:t>
      </w:r>
    </w:p>
    <w:p>
      <w:pPr>
        <w:pStyle w:val="normal"/>
        <w:numPr>
          <w:ilvl w:val="0"/>
          <w:numId w:val="11"/>
        </w:numPr>
        <w:spacing w:before="0" w:after="174" w:line="228" w:lineRule="auto"/>
        <w:ind w:left="427" w:right="48" w:hanging="284"/>
      </w:pPr>
      <w:r>
        <w:rPr/>
        <w:t xml:space="preserve">The German GTZ with its Municipal Support Project.  </w:t>
      </w:r>
    </w:p>
    <w:p>
      <w:pPr>
        <w:pStyle w:val="normal"/>
        <w:numPr>
          <w:ilvl w:val="0"/>
          <w:numId w:val="11"/>
        </w:numPr>
        <w:spacing w:before="0" w:after="84" w:line="228" w:lineRule="auto"/>
        <w:ind w:left="427" w:right="48" w:hanging="284"/>
      </w:pPr>
      <w:r>
        <w:rPr/>
        <w:t xml:space="preserve">United States Agency for International Development (USAID) with its activities on LED. </w:t>
      </w:r>
    </w:p>
    <w:p>
      <w:pPr>
        <w:pStyle w:val="normal"/>
        <w:spacing w:before="0" w:after="198" w:line="228" w:lineRule="auto"/>
        <w:ind w:left="-4" w:right="48"/>
      </w:pPr>
      <w:r>
        <w:rPr/>
        <w:t xml:space="preserve">The programme will build on results of the previous UN experience from the region: </w:t>
      </w:r>
    </w:p>
    <w:p>
      <w:pPr>
        <w:pStyle w:val="normal"/>
        <w:numPr>
          <w:ilvl w:val="0"/>
          <w:numId w:val="11"/>
        </w:numPr>
        <w:spacing w:before="0" w:after="29" w:line="228" w:lineRule="auto"/>
        <w:ind w:left="427" w:right="48" w:hanging="284"/>
      </w:pPr>
      <w:r>
        <w:rPr/>
        <w:t xml:space="preserve">The UNDP SSMIRP, MIR1 and MIR2 (Municipal Improvement and Revival in South Serbia) phase I and </w:t>
      </w:r>
    </w:p>
    <w:p>
      <w:pPr>
        <w:pStyle w:val="normal"/>
        <w:spacing w:before="0" w:after="2564" w:line="228" w:lineRule="auto"/>
        <w:ind w:left="437" w:right="48"/>
      </w:pPr>
      <w:r>
        <w:rPr/>
        <w:t xml:space="preserve">II.   </w:t>
      </w:r>
    </w:p>
    <w:p>
      <w:pPr>
        <w:spacing w:before="0" w:after="0" w:line="259" w:lineRule="auto"/>
        <w:ind w:left="0" w:right="0" w:firstLine="0"/>
        <w:jc w:val="right"/>
      </w:pPr>
      <w:r>
        <w:rPr>
          <w:rFonts w:cs="Arial" w:hAnsi="Arial" w:eastAsia="Arial" w:ascii="Arial"/>
        </w:rPr>
        <w:t xml:space="preserve"> </w:t>
      </w:r>
    </w:p>
    <w:p>
      <w:pPr>
        <w:spacing w:before="0" w:after="40" w:line="259" w:lineRule="auto"/>
        <w:ind w:left="0" w:right="0" w:firstLine="0"/>
        <w:jc w:val="left"/>
      </w:pPr>
      <w:r>
        <w:rPr>
          <w:rFonts w:cs="Arial" w:hAnsi="Arial" w:eastAsia="Arial" w:ascii="Arial"/>
          <w:b w:val="1"/>
        </w:rPr>
        <w:t xml:space="preserve"> </w:t>
      </w:r>
    </w:p>
    <w:p>
      <w:pPr>
        <w:spacing w:before="0" w:after="32" w:line="259" w:lineRule="auto"/>
        <w:ind w:left="0" w:right="0" w:firstLine="0"/>
        <w:jc w:val="left"/>
      </w:pPr>
      <w:r>
        <w:rPr>
          <w:rFonts w:cs="Arial" w:hAnsi="Arial" w:eastAsia="Arial" w:ascii="Arial"/>
          <w:b w:val="1"/>
        </w:rPr>
        <w:t xml:space="preserve"> </w:t>
      </w:r>
    </w:p>
    <w:p>
      <w:pPr>
        <w:pStyle w:val="heading2"/>
        <w:shd w:val="clear" w:color="auto" w:fill="auto"/>
        <w:spacing w:before="0" w:after="44" w:line="259" w:lineRule="auto"/>
        <w:ind w:left="-4"/>
      </w:pPr>
      <w:r>
        <w:rPr/>
        <w:t xml:space="preserve">ANNEXES  </w:t>
      </w:r>
    </w:p>
    <w:p>
      <w:pPr>
        <w:pStyle w:val="heading3"/>
        <w:tabs>
          <w:tab w:val="center" w:pos="2020"/>
        </w:tabs>
        <w:spacing w:before="0" w:after="0" w:line="259" w:lineRule="auto"/>
        <w:ind w:left="-14" w:firstLine="0"/>
      </w:pPr>
      <w:r>
        <w:rPr/>
        <w:t xml:space="preserve">I  	RDA Capacity Assessment check list</w:t>
      </w:r>
      <w:r>
        <w:rPr>
          <w:rFonts w:cs="Calibri" w:hAnsi="Calibri" w:eastAsia="Calibri" w:ascii="Calibri"/>
          <w:b w:val="0"/>
        </w:rPr>
        <w:t xml:space="preserve"> </w:t>
      </w:r>
    </w:p>
    <w:tbl>
      <w:tblPr>
        <w:tblStyle w:val="TableGrid"/>
        <w:tblW w:w="9816" w:type="dxa"/>
        <w:tblInd w:w="-107" w:type="dxa"/>
        <w:tblCellMar>
          <w:top w:w="8" w:type="dxa"/>
          <w:left w:w="107" w:type="dxa"/>
          <w:bottom w:w="0" w:type="dxa"/>
          <w:right w:w="46" w:type="dxa"/>
        </w:tblCellMar>
      </w:tblPr>
      <w:tblGrid>
        <w:gridCol w:w="1949"/>
        <w:gridCol w:w="678"/>
        <w:gridCol w:w="1946"/>
        <w:gridCol w:w="2216"/>
        <w:gridCol w:w="3026"/>
      </w:tblGrid>
      <w:tr>
        <w:trPr>
          <w:trHeight w:val="319" w:hRule="atLeast"/>
        </w:trPr>
        <w:tc>
          <w:tcPr>
            <w:tcW w:w="2627"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Arial" w:hAnsi="Arial" w:eastAsia="Arial" w:ascii="Arial"/>
              </w:rPr>
              <w:t xml:space="preserve">Project Title </w:t>
            </w:r>
          </w:p>
        </w:tc>
        <w:tc>
          <w:tcPr>
            <w:tcW w:w="7189" w:type="dxa"/>
            <w:gridSpan w:val="3"/>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t xml:space="preserve">Vlasina Lake Ecotourism Promotion and Environment Protection</w:t>
            </w:r>
            <w:r>
              <w:rPr>
                <w:rFonts w:cs="Arial" w:hAnsi="Arial" w:eastAsia="Arial" w:ascii="Arial"/>
              </w:rPr>
              <w:t xml:space="preserve"> </w:t>
            </w:r>
          </w:p>
        </w:tc>
      </w:tr>
      <w:tr>
        <w:trPr>
          <w:trHeight w:val="516" w:hRule="atLeast"/>
        </w:trPr>
        <w:tc>
          <w:tcPr>
            <w:tcW w:w="2627"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Arial" w:hAnsi="Arial" w:eastAsia="Arial" w:ascii="Arial"/>
              </w:rPr>
              <w:t xml:space="preserve">Name of the Institution </w:t>
            </w:r>
          </w:p>
        </w:tc>
        <w:tc>
          <w:tcPr>
            <w:tcW w:w="7189" w:type="dxa"/>
            <w:gridSpan w:val="3"/>
            <w:tcBorders>
              <w:top w:val="single" w:sz="4" w:color="000000"/>
              <w:left w:val="single" w:sz="4" w:color="000000"/>
              <w:bottom w:val="single" w:sz="4" w:color="000000"/>
              <w:right w:val="single" w:sz="4" w:color="000000"/>
            </w:tcBorders>
            <w:vAlign w:val="top"/>
          </w:tcPr>
          <w:p>
            <w:pPr>
              <w:spacing w:before="0" w:after="0" w:line="259" w:lineRule="auto"/>
              <w:ind w:left="1" w:right="0" w:firstLine="1"/>
              <w:jc w:val="left"/>
            </w:pPr>
            <w:r>
              <w:rPr>
                <w:rFonts w:cs="Arial" w:hAnsi="Arial" w:eastAsia="Arial" w:ascii="Arial"/>
              </w:rPr>
              <w:t xml:space="preserve">Centre for the Development of the Jablanica and Pcinja Districts (RDA Leskovac) </w:t>
            </w:r>
          </w:p>
        </w:tc>
      </w:tr>
      <w:tr>
        <w:trPr>
          <w:trHeight w:val="280" w:hRule="atLeast"/>
        </w:trPr>
        <w:tc>
          <w:tcPr>
            <w:tcW w:w="2627"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Arial" w:hAnsi="Arial" w:eastAsia="Arial" w:ascii="Arial"/>
              </w:rPr>
              <w:t xml:space="preserve">Date of assessment </w:t>
            </w:r>
          </w:p>
        </w:tc>
        <w:tc>
          <w:tcPr>
            <w:tcW w:w="7189" w:type="dxa"/>
            <w:gridSpan w:val="3"/>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July 15</w:t>
            </w:r>
            <w:r>
              <w:rPr>
                <w:rFonts w:cs="Arial" w:hAnsi="Arial" w:eastAsia="Arial" w:ascii="Arial"/>
                <w:vertAlign w:val="superscript"/>
              </w:rPr>
              <w:t xml:space="preserve">th</w:t>
            </w:r>
            <w:r>
              <w:rPr>
                <w:rFonts w:cs="Arial" w:hAnsi="Arial" w:eastAsia="Arial" w:ascii="Arial"/>
              </w:rPr>
              <w:t xml:space="preserve"> 2010 </w:t>
            </w:r>
          </w:p>
        </w:tc>
      </w:tr>
      <w:tr>
        <w:trPr>
          <w:trHeight w:val="574" w:hRule="atLeast"/>
        </w:trPr>
        <w:tc>
          <w:tcPr>
            <w:tcW w:w="1949" w:type="dxa"/>
            <w:tcBorders>
              <w:top w:val="single" w:sz="4" w:color="000000"/>
              <w:left w:val="single" w:sz="4" w:color="000000"/>
              <w:bottom w:val="single" w:sz="4" w:color="000000"/>
              <w:right w:val="single" w:sz="4" w:color="000000"/>
            </w:tcBorders>
            <w:shd w:val="clear" w:fill="ffcc00"/>
            <w:vAlign w:val="top"/>
          </w:tcPr>
          <w:p>
            <w:pPr>
              <w:spacing w:before="0" w:after="0" w:line="259" w:lineRule="auto"/>
              <w:ind w:left="0" w:right="0" w:firstLine="0"/>
              <w:jc w:val="left"/>
            </w:pPr>
            <w:r>
              <w:rPr>
                <w:rFonts w:cs="Arial" w:hAnsi="Arial" w:eastAsia="Arial" w:ascii="Arial"/>
                <w:b w:val="1"/>
              </w:rPr>
              <w:t xml:space="preserve">INDICATOR </w:t>
            </w:r>
          </w:p>
        </w:tc>
        <w:tc>
          <w:tcPr>
            <w:tcW w:w="2624" w:type="dxa"/>
            <w:gridSpan w:val="2"/>
            <w:tcBorders>
              <w:top w:val="single" w:sz="4" w:color="000000"/>
              <w:left w:val="single" w:sz="4" w:color="000000"/>
              <w:bottom w:val="single" w:sz="4" w:color="000000"/>
              <w:right w:val="single" w:sz="4" w:color="000000"/>
            </w:tcBorders>
            <w:shd w:val="clear" w:fill="ffcc00"/>
            <w:vAlign w:val="top"/>
          </w:tcPr>
          <w:p>
            <w:pPr>
              <w:spacing w:before="0" w:after="0" w:line="259" w:lineRule="auto"/>
              <w:ind w:left="1" w:right="0" w:firstLine="0"/>
            </w:pPr>
            <w:r>
              <w:rPr>
                <w:rFonts w:cs="Arial" w:hAnsi="Arial" w:eastAsia="Arial" w:ascii="Arial"/>
                <w:b w:val="1"/>
              </w:rPr>
              <w:t xml:space="preserve">AREAS FOR ASSESSMENT </w:t>
            </w:r>
          </w:p>
        </w:tc>
        <w:tc>
          <w:tcPr>
            <w:tcW w:w="2216" w:type="dxa"/>
            <w:tcBorders>
              <w:top w:val="single" w:sz="4" w:color="000000"/>
              <w:left w:val="single" w:sz="4" w:color="000000"/>
              <w:bottom w:val="single" w:sz="4" w:color="000000"/>
              <w:right w:val="single" w:sz="4" w:color="000000"/>
            </w:tcBorders>
            <w:shd w:val="clear" w:fill="ffcc00"/>
            <w:vAlign w:val="top"/>
          </w:tcPr>
          <w:p>
            <w:pPr>
              <w:spacing w:before="0" w:after="0" w:line="259" w:lineRule="auto"/>
              <w:ind w:left="1" w:right="0" w:firstLine="0"/>
              <w:jc w:val="left"/>
            </w:pPr>
            <w:r>
              <w:rPr>
                <w:rFonts w:cs="Arial" w:hAnsi="Arial" w:eastAsia="Arial" w:ascii="Arial"/>
                <w:b w:val="1"/>
              </w:rPr>
              <w:t xml:space="preserve">APPLICABLE </w:t>
            </w:r>
          </w:p>
          <w:p>
            <w:pPr>
              <w:spacing w:before="0" w:after="0" w:line="259" w:lineRule="auto"/>
              <w:ind w:left="1" w:right="0" w:firstLine="0"/>
              <w:jc w:val="left"/>
            </w:pPr>
            <w:r>
              <w:rPr>
                <w:rFonts w:cs="Arial" w:hAnsi="Arial" w:eastAsia="Arial" w:ascii="Arial"/>
                <w:b w:val="1"/>
              </w:rPr>
              <w:t xml:space="preserve">DOCUMENTS/TOOLS </w:t>
            </w:r>
          </w:p>
        </w:tc>
        <w:tc>
          <w:tcPr>
            <w:tcW w:w="3026" w:type="dxa"/>
            <w:tcBorders>
              <w:top w:val="single" w:sz="4" w:color="000000"/>
              <w:left w:val="single" w:sz="4" w:color="000000"/>
              <w:bottom w:val="single" w:sz="4" w:color="000000"/>
              <w:right w:val="single" w:sz="4" w:color="000000"/>
            </w:tcBorders>
            <w:shd w:val="clear" w:fill="ffcc00"/>
            <w:vAlign w:val="top"/>
          </w:tcPr>
          <w:p>
            <w:pPr>
              <w:spacing w:before="0" w:after="0" w:line="259" w:lineRule="auto"/>
              <w:ind w:left="1" w:right="0" w:firstLine="0"/>
              <w:jc w:val="left"/>
            </w:pPr>
            <w:r>
              <w:rPr>
                <w:rFonts w:cs="Arial" w:hAnsi="Arial" w:eastAsia="Arial" w:ascii="Arial"/>
                <w:b w:val="1"/>
              </w:rPr>
              <w:t xml:space="preserve">COMMENTS </w:t>
            </w:r>
          </w:p>
        </w:tc>
      </w:tr>
      <w:tr>
        <w:trPr>
          <w:trHeight w:val="322" w:hRule="atLeast"/>
        </w:trPr>
        <w:tc>
          <w:tcPr>
            <w:tcW w:w="9816" w:type="dxa"/>
            <w:gridSpan w:val="5"/>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right="0" w:firstLine="0"/>
              <w:jc w:val="left"/>
            </w:pPr>
            <w:r>
              <w:rPr>
                <w:rFonts w:cs="Arial" w:hAnsi="Arial" w:eastAsia="Arial" w:ascii="Arial"/>
                <w:b w:val="1"/>
              </w:rPr>
              <w:t xml:space="preserve">PART I – REFERENCES AND PRELIMINARY CHECKS </w:t>
            </w:r>
          </w:p>
        </w:tc>
      </w:tr>
      <w:tr>
        <w:trPr>
          <w:trHeight w:val="322" w:hRule="atLeast"/>
        </w:trPr>
        <w:tc>
          <w:tcPr>
            <w:tcW w:w="9816" w:type="dxa"/>
            <w:gridSpan w:val="5"/>
            <w:tcBorders>
              <w:top w:val="single" w:sz="4" w:color="000000"/>
              <w:left w:val="single" w:sz="4" w:color="000000"/>
              <w:bottom w:val="single" w:sz="4" w:color="000000"/>
              <w:right w:val="single" w:sz="4" w:color="000000"/>
            </w:tcBorders>
            <w:shd w:val="clear" w:fill="ffff9a"/>
            <w:vAlign w:val="top"/>
          </w:tcPr>
          <w:p>
            <w:pPr>
              <w:spacing w:before="0" w:after="0" w:line="259" w:lineRule="auto"/>
              <w:ind w:left="0" w:right="0" w:firstLine="0"/>
              <w:jc w:val="left"/>
            </w:pPr>
            <w:r>
              <w:rPr>
                <w:rFonts w:cs="Arial" w:hAnsi="Arial" w:eastAsia="Arial" w:ascii="Arial"/>
                <w:b w:val="1"/>
              </w:rPr>
              <w:t xml:space="preserve">1.1 History and Compliance with International Resolutions/Standards </w:t>
            </w:r>
          </w:p>
        </w:tc>
      </w:tr>
      <w:tr>
        <w:trPr>
          <w:trHeight w:val="7632" w:hRule="atLeast"/>
        </w:trPr>
        <w:tc>
          <w:tcPr>
            <w:tcW w:w="1949"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Arial" w:hAnsi="Arial" w:eastAsia="Arial" w:ascii="Arial"/>
              </w:rPr>
              <w:t xml:space="preserve">1.1.1 History </w:t>
            </w:r>
          </w:p>
        </w:tc>
        <w:tc>
          <w:tcPr>
            <w:tcW w:w="2624" w:type="dxa"/>
            <w:gridSpan w:val="2"/>
            <w:tcBorders>
              <w:top w:val="single" w:sz="4" w:color="000000"/>
              <w:left w:val="single" w:sz="4" w:color="000000"/>
              <w:bottom w:val="single" w:sz="4" w:color="000000"/>
              <w:right w:val="single" w:sz="4" w:color="000000"/>
            </w:tcBorders>
            <w:vAlign w:val="top"/>
          </w:tcPr>
          <w:p>
            <w:pPr>
              <w:spacing w:before="0" w:after="59" w:line="241" w:lineRule="auto"/>
              <w:ind w:left="1" w:right="0" w:firstLine="0"/>
              <w:jc w:val="left"/>
            </w:pPr>
            <w:r>
              <w:rPr>
                <w:rFonts w:cs="Arial" w:hAnsi="Arial" w:eastAsia="Arial" w:ascii="Arial"/>
              </w:rPr>
              <w:t xml:space="preserve">Date of creation and length in existence </w:t>
            </w:r>
          </w:p>
          <w:p>
            <w:pPr>
              <w:spacing w:before="0" w:after="0" w:line="259" w:lineRule="auto"/>
              <w:ind w:left="1" w:right="0" w:firstLine="0"/>
              <w:jc w:val="left"/>
            </w:pPr>
            <w:r>
              <w:rPr>
                <w:rFonts w:cs="Arial" w:hAnsi="Arial" w:eastAsia="Arial" w:ascii="Arial"/>
              </w:rPr>
              <w:t xml:space="preserve">Has the institution gone through a recent reorganization/re-structuring? </w:t>
            </w:r>
          </w:p>
        </w:tc>
        <w:tc>
          <w:tcPr>
            <w:tcW w:w="2216" w:type="dxa"/>
            <w:tcBorders>
              <w:top w:val="single" w:sz="4" w:color="000000"/>
              <w:left w:val="single" w:sz="4" w:color="000000"/>
              <w:bottom w:val="single" w:sz="4" w:color="000000"/>
              <w:right w:val="single" w:sz="4" w:color="000000"/>
            </w:tcBorders>
            <w:vAlign w:val="top"/>
          </w:tcPr>
          <w:p>
            <w:pPr>
              <w:spacing w:before="0" w:after="40" w:line="259" w:lineRule="auto"/>
              <w:ind w:left="1" w:right="0" w:firstLine="0"/>
              <w:jc w:val="left"/>
            </w:pPr>
            <w:r>
              <w:rPr>
                <w:rFonts w:cs="Arial" w:hAnsi="Arial" w:eastAsia="Arial" w:ascii="Arial"/>
              </w:rPr>
              <w:t xml:space="preserve">Annual Reports </w:t>
            </w:r>
          </w:p>
          <w:p>
            <w:pPr>
              <w:spacing w:before="0" w:after="39" w:line="259" w:lineRule="auto"/>
              <w:ind w:left="1" w:right="0" w:firstLine="0"/>
              <w:jc w:val="left"/>
            </w:pPr>
            <w:r>
              <w:rPr>
                <w:rFonts w:cs="Arial" w:hAnsi="Arial" w:eastAsia="Arial" w:ascii="Arial"/>
              </w:rPr>
              <w:t xml:space="preserve">Media Kit </w:t>
            </w:r>
          </w:p>
          <w:p>
            <w:pPr>
              <w:spacing w:before="0" w:after="0" w:line="259" w:lineRule="auto"/>
              <w:ind w:left="1" w:right="0" w:firstLine="0"/>
              <w:jc w:val="left"/>
            </w:pPr>
            <w:r>
              <w:rPr>
                <w:rFonts w:cs="Arial" w:hAnsi="Arial" w:eastAsia="Arial" w:ascii="Arial"/>
              </w:rPr>
              <w:t xml:space="preserve">Website </w:t>
            </w:r>
          </w:p>
        </w:tc>
        <w:tc>
          <w:tcPr>
            <w:tcW w:w="3026" w:type="dxa"/>
            <w:tcBorders>
              <w:top w:val="single" w:sz="4" w:color="000000"/>
              <w:left w:val="single" w:sz="4" w:color="000000"/>
              <w:bottom w:val="single" w:sz="4" w:color="000000"/>
              <w:right w:val="single" w:sz="4" w:color="000000"/>
            </w:tcBorders>
            <w:vAlign w:val="top"/>
          </w:tcPr>
          <w:p>
            <w:pPr>
              <w:spacing w:before="0" w:after="60" w:line="240" w:lineRule="auto"/>
              <w:ind w:left="1" w:right="46" w:firstLine="0"/>
              <w:jc w:val="left"/>
            </w:pPr>
            <w:r>
              <w:rPr>
                <w:rFonts w:cs="Arial" w:hAnsi="Arial" w:eastAsia="Arial" w:ascii="Arial"/>
              </w:rPr>
              <w:t xml:space="preserve">The Centre for the Development of the Jablanica and Pcinja Districts is a registered company, established in November 2006, through support of MIR 2 programme implemented by UNDP, with the aim to support the long-term economic and social development of the region, in partnership of Public, Private and Civil sectors.    </w:t>
            </w:r>
          </w:p>
          <w:p>
            <w:pPr>
              <w:spacing w:before="0" w:after="40" w:line="259" w:lineRule="auto"/>
              <w:ind w:left="1" w:right="0" w:firstLine="0"/>
              <w:jc w:val="left"/>
            </w:pPr>
            <w:r>
              <w:rPr>
                <w:rFonts w:cs="Arial" w:hAnsi="Arial" w:eastAsia="Arial" w:ascii="Arial"/>
                <w:b w:val="1"/>
              </w:rPr>
              <w:t xml:space="preserve">Founders of the Centre are: </w:t>
            </w:r>
          </w:p>
          <w:p>
            <w:pPr>
              <w:spacing w:before="0" w:after="0" w:line="259" w:lineRule="auto"/>
              <w:ind w:left="1" w:right="0" w:firstLine="0"/>
              <w:jc w:val="left"/>
            </w:pPr>
            <w:r>
              <w:rPr>
                <w:rFonts w:cs="Arial" w:hAnsi="Arial" w:eastAsia="Arial" w:ascii="Arial"/>
                <w:b w:val="1"/>
              </w:rPr>
              <w:t xml:space="preserve">All the municipalities of </w:t>
            </w:r>
          </w:p>
          <w:p>
            <w:pPr>
              <w:spacing w:before="0" w:after="0" w:line="259" w:lineRule="auto"/>
              <w:ind w:left="1" w:right="0" w:firstLine="0"/>
              <w:jc w:val="left"/>
            </w:pPr>
            <w:r>
              <w:rPr>
                <w:rFonts w:cs="Arial" w:hAnsi="Arial" w:eastAsia="Arial" w:ascii="Arial"/>
                <w:b w:val="1"/>
              </w:rPr>
              <w:t xml:space="preserve">Jablanica and Pcinja Districts</w:t>
            </w:r>
            <w:r>
              <w:rPr>
                <w:rFonts w:cs="Arial" w:hAnsi="Arial" w:eastAsia="Arial" w:ascii="Arial"/>
              </w:rPr>
              <w:t xml:space="preserve">: </w:t>
            </w:r>
          </w:p>
          <w:p>
            <w:pPr>
              <w:spacing w:before="0" w:after="0" w:line="259" w:lineRule="auto"/>
              <w:ind w:left="1" w:right="0" w:firstLine="0"/>
              <w:jc w:val="left"/>
            </w:pPr>
            <w:r>
              <w:rPr>
                <w:rFonts w:cs="Arial" w:hAnsi="Arial" w:eastAsia="Arial" w:ascii="Arial"/>
              </w:rPr>
              <w:t xml:space="preserve">Vranje, Leskovac, Bujanovac, </w:t>
            </w:r>
          </w:p>
          <w:p>
            <w:pPr>
              <w:spacing w:before="0" w:after="0" w:line="259" w:lineRule="auto"/>
              <w:ind w:left="1" w:right="0" w:firstLine="0"/>
              <w:jc w:val="left"/>
            </w:pPr>
            <w:r>
              <w:rPr>
                <w:rFonts w:cs="Arial" w:hAnsi="Arial" w:eastAsia="Arial" w:ascii="Arial"/>
              </w:rPr>
              <w:t xml:space="preserve">Medvedja, Bojnik Presevo, </w:t>
            </w:r>
          </w:p>
          <w:p>
            <w:pPr>
              <w:spacing w:before="0" w:after="0" w:line="259" w:lineRule="auto"/>
              <w:ind w:left="1" w:right="0" w:firstLine="0"/>
              <w:jc w:val="left"/>
            </w:pPr>
            <w:r>
              <w:rPr>
                <w:rFonts w:cs="Arial" w:hAnsi="Arial" w:eastAsia="Arial" w:ascii="Arial"/>
              </w:rPr>
              <w:t xml:space="preserve">Surdulica, Bosilegrad, Vladicin </w:t>
            </w:r>
          </w:p>
          <w:p>
            <w:pPr>
              <w:spacing w:before="0" w:after="59" w:line="241" w:lineRule="auto"/>
              <w:ind w:left="1" w:right="0" w:firstLine="0"/>
              <w:jc w:val="left"/>
            </w:pPr>
            <w:r>
              <w:rPr>
                <w:rFonts w:cs="Arial" w:hAnsi="Arial" w:eastAsia="Arial" w:ascii="Arial"/>
              </w:rPr>
              <w:t xml:space="preserve">Han, Crna Trava, Trgoviste, Lebane, Vlasotince,   </w:t>
            </w:r>
          </w:p>
          <w:p>
            <w:pPr>
              <w:spacing w:before="0" w:after="0" w:line="240" w:lineRule="auto"/>
              <w:ind w:left="1" w:right="0" w:firstLine="0"/>
              <w:jc w:val="left"/>
            </w:pPr>
            <w:r>
              <w:rPr>
                <w:rFonts w:cs="Arial" w:hAnsi="Arial" w:eastAsia="Arial" w:ascii="Arial"/>
                <w:b w:val="1"/>
              </w:rPr>
              <w:t xml:space="preserve">Representatives of the private sector:</w:t>
            </w:r>
            <w:r>
              <w:rPr>
                <w:rFonts w:cs="Arial" w:hAnsi="Arial" w:eastAsia="Arial" w:ascii="Arial"/>
              </w:rPr>
              <w:t xml:space="preserve"> “Zdravlje Actavis” Leskovac, “Knauf Insulation”  </w:t>
            </w:r>
          </w:p>
          <w:p>
            <w:pPr>
              <w:spacing w:before="0" w:after="59" w:line="241" w:lineRule="auto"/>
              <w:ind w:left="1" w:right="0" w:firstLine="0"/>
            </w:pPr>
            <w:r>
              <w:rPr>
                <w:rFonts w:cs="Arial" w:hAnsi="Arial" w:eastAsia="Arial" w:ascii="Arial"/>
              </w:rPr>
              <w:t xml:space="preserve">Surdulica, “British American Tobacco Industry”  Vranje,  </w:t>
            </w:r>
          </w:p>
          <w:p>
            <w:pPr>
              <w:spacing w:before="0" w:after="0" w:line="240" w:lineRule="auto"/>
              <w:ind w:left="1" w:right="0" w:firstLine="0"/>
              <w:jc w:val="left"/>
            </w:pPr>
            <w:r>
              <w:rPr>
                <w:rFonts w:cs="Arial" w:hAnsi="Arial" w:eastAsia="Arial" w:ascii="Arial"/>
                <w:b w:val="1"/>
              </w:rPr>
              <w:t xml:space="preserve">Representatives of the civic sector</w:t>
            </w:r>
            <w:r>
              <w:rPr>
                <w:rFonts w:cs="Arial" w:hAnsi="Arial" w:eastAsia="Arial" w:ascii="Arial"/>
              </w:rPr>
              <w:t xml:space="preserve">: “Resurs centar” Leskovac, ”Generator”, Vranje, „Council for </w:t>
            </w:r>
          </w:p>
          <w:p>
            <w:pPr>
              <w:spacing w:before="0" w:after="0" w:line="259" w:lineRule="auto"/>
              <w:ind w:left="1" w:right="0" w:firstLine="0"/>
              <w:jc w:val="left"/>
            </w:pPr>
            <w:r>
              <w:rPr>
                <w:rFonts w:cs="Arial" w:hAnsi="Arial" w:eastAsia="Arial" w:ascii="Arial"/>
              </w:rPr>
              <w:t xml:space="preserve">Human Rights” Bujanovac. and </w:t>
            </w:r>
          </w:p>
          <w:p>
            <w:pPr>
              <w:spacing w:before="0" w:after="0" w:line="259" w:lineRule="auto"/>
              <w:ind w:left="1" w:right="0" w:firstLine="0"/>
              <w:jc w:val="left"/>
            </w:pPr>
            <w:r>
              <w:rPr>
                <w:rFonts w:cs="Arial" w:hAnsi="Arial" w:eastAsia="Arial" w:ascii="Arial"/>
                <w:b w:val="1"/>
              </w:rPr>
              <w:t xml:space="preserve">Regional Chamber of Commerce</w:t>
            </w:r>
          </w:p>
        </w:tc>
      </w:tr>
      <w:tr>
        <w:trPr>
          <w:trHeight w:val="1332" w:hRule="atLeast"/>
        </w:trPr>
        <w:tc>
          <w:tcPr>
            <w:tcW w:w="1949" w:type="dxa"/>
            <w:tcBorders>
              <w:top w:val="single" w:sz="4" w:color="000000"/>
              <w:left w:val="single" w:sz="4" w:color="000000"/>
              <w:bottom w:val="single" w:sz="4" w:color="000000"/>
              <w:right w:val="single" w:sz="4" w:color="000000"/>
            </w:tcBorders>
            <w:vAlign w:val="top"/>
          </w:tcPr>
          <w:p>
            <w:pPr>
              <w:spacing w:before="0" w:after="0" w:line="241" w:lineRule="auto"/>
              <w:ind w:left="0" w:right="0" w:firstLine="0"/>
            </w:pPr>
            <w:r>
              <w:rPr>
                <w:rFonts w:cs="Arial" w:hAnsi="Arial" w:eastAsia="Arial" w:ascii="Arial"/>
              </w:rPr>
              <w:t xml:space="preserve">1.1.2 United Nations Security Council </w:t>
            </w:r>
          </w:p>
          <w:p>
            <w:pPr>
              <w:spacing w:before="0" w:after="0" w:line="259" w:lineRule="auto"/>
              <w:ind w:left="0" w:right="0" w:firstLine="0"/>
              <w:jc w:val="left"/>
            </w:pPr>
            <w:r>
              <w:rPr>
                <w:rFonts w:cs="Arial" w:hAnsi="Arial" w:eastAsia="Arial" w:ascii="Arial"/>
              </w:rPr>
              <w:t xml:space="preserve">1267 </w:t>
            </w:r>
          </w:p>
        </w:tc>
        <w:tc>
          <w:tcPr>
            <w:tcW w:w="262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Is the institution listed in any reference list? </w:t>
            </w:r>
          </w:p>
        </w:tc>
        <w:tc>
          <w:tcPr>
            <w:tcW w:w="2216"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United Nations Security </w:t>
            </w:r>
          </w:p>
          <w:p>
            <w:pPr>
              <w:spacing w:before="0" w:after="0" w:line="259" w:lineRule="auto"/>
              <w:ind w:left="1" w:right="0" w:firstLine="0"/>
              <w:jc w:val="left"/>
            </w:pPr>
            <w:r>
              <w:rPr>
                <w:rFonts w:cs="Arial" w:hAnsi="Arial" w:eastAsia="Arial" w:ascii="Arial"/>
              </w:rPr>
              <w:t xml:space="preserve">Council 1267 Committee’s list of terrorists and terrorist financiers </w:t>
            </w:r>
          </w:p>
        </w:tc>
        <w:tc>
          <w:tcPr>
            <w:tcW w:w="3026"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no </w:t>
            </w:r>
          </w:p>
        </w:tc>
      </w:tr>
      <w:tr>
        <w:trPr>
          <w:trHeight w:val="2594" w:hRule="atLeast"/>
        </w:trPr>
        <w:tc>
          <w:tcPr>
            <w:tcW w:w="1949"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Arial" w:hAnsi="Arial" w:eastAsia="Arial" w:ascii="Arial"/>
              </w:rPr>
              <w:t xml:space="preserve">1.1.3 Certification </w:t>
            </w:r>
          </w:p>
        </w:tc>
        <w:tc>
          <w:tcPr>
            <w:tcW w:w="262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1" w:right="0" w:hanging="1"/>
              <w:jc w:val="left"/>
            </w:pPr>
            <w:r>
              <w:rPr>
                <w:rFonts w:cs="Arial" w:hAnsi="Arial" w:eastAsia="Arial" w:ascii="Arial"/>
              </w:rPr>
              <w:t xml:space="preserve">Is the institution already certified through international standards? </w:t>
            </w:r>
          </w:p>
        </w:tc>
        <w:tc>
          <w:tcPr>
            <w:tcW w:w="2216"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ISO, Project </w:t>
            </w:r>
          </w:p>
          <w:p>
            <w:pPr>
              <w:spacing w:before="0" w:after="0" w:line="259" w:lineRule="auto"/>
              <w:ind w:left="1" w:right="0" w:firstLine="0"/>
              <w:jc w:val="left"/>
            </w:pPr>
            <w:r>
              <w:rPr>
                <w:rFonts w:cs="Arial" w:hAnsi="Arial" w:eastAsia="Arial" w:ascii="Arial"/>
              </w:rPr>
              <w:t xml:space="preserve">Management standard, other standards </w:t>
            </w:r>
          </w:p>
        </w:tc>
        <w:tc>
          <w:tcPr>
            <w:tcW w:w="3026" w:type="dxa"/>
            <w:tcBorders>
              <w:top w:val="single" w:sz="4" w:color="000000"/>
              <w:left w:val="single" w:sz="4" w:color="000000"/>
              <w:bottom w:val="single" w:sz="4" w:color="000000"/>
              <w:right w:val="single" w:sz="4" w:color="000000"/>
            </w:tcBorders>
            <w:vAlign w:val="top"/>
          </w:tcPr>
          <w:p>
            <w:pPr>
              <w:spacing w:before="0" w:after="59" w:line="240" w:lineRule="auto"/>
              <w:ind w:left="1" w:right="0" w:firstLine="0"/>
              <w:jc w:val="left"/>
            </w:pPr>
            <w:r>
              <w:rPr>
                <w:rFonts w:cs="Arial" w:hAnsi="Arial" w:eastAsia="Arial" w:ascii="Arial"/>
              </w:rPr>
              <w:t xml:space="preserve">Center for Development has accreditation under the ISO 9001 standard: Consulting and information services in regional development. </w:t>
            </w:r>
          </w:p>
          <w:p>
            <w:pPr>
              <w:spacing w:before="0" w:after="0" w:line="259" w:lineRule="auto"/>
              <w:ind w:left="1" w:right="0" w:firstLine="0"/>
              <w:jc w:val="left"/>
            </w:pPr>
            <w:r>
              <w:rPr>
                <w:rFonts w:cs="Arial" w:hAnsi="Arial" w:eastAsia="Arial" w:ascii="Arial"/>
              </w:rPr>
              <w:t xml:space="preserve">Republic of Serbia National </w:t>
            </w:r>
          </w:p>
          <w:p>
            <w:pPr>
              <w:spacing w:before="0" w:after="0" w:line="259" w:lineRule="auto"/>
              <w:ind w:left="1" w:right="0" w:firstLine="0"/>
              <w:jc w:val="left"/>
            </w:pPr>
            <w:r>
              <w:rPr>
                <w:rFonts w:cs="Arial" w:hAnsi="Arial" w:eastAsia="Arial" w:ascii="Arial"/>
              </w:rPr>
              <w:t xml:space="preserve">Agency for Regional Development has awarded the first accreditation to Centre for the Development of Jablanica and Pcinja Districts as a </w:t>
            </w:r>
          </w:p>
        </w:tc>
      </w:tr>
    </w:tbl>
    <w:p>
      <w:pPr>
        <w:spacing w:before="0" w:after="0" w:line="259" w:lineRule="auto"/>
        <w:ind w:left="0" w:right="0" w:firstLine="0"/>
        <w:jc w:val="right"/>
      </w:pPr>
      <w:r>
        <w:rPr>
          <w:rFonts w:cs="Arial" w:hAnsi="Arial" w:eastAsia="Arial" w:ascii="Arial"/>
        </w:rPr>
        <w:t xml:space="preserve"> </w:t>
      </w:r>
    </w:p>
    <w:p>
      <w:pPr>
        <w:spacing w:before="0" w:after="0" w:line="259" w:lineRule="auto"/>
        <w:ind w:left="-1151" w:right="10815" w:firstLine="0"/>
        <w:jc w:val="left"/>
      </w:pPr>
    </w:p>
    <w:tbl>
      <w:tblPr>
        <w:tblStyle w:val="TableGrid"/>
        <w:tblW w:w="9816" w:type="dxa"/>
        <w:tblInd w:w="-107" w:type="dxa"/>
        <w:tblCellMar>
          <w:top w:w="49" w:type="dxa"/>
          <w:left w:w="107" w:type="dxa"/>
          <w:bottom w:w="0" w:type="dxa"/>
          <w:right w:w="20" w:type="dxa"/>
        </w:tblCellMar>
      </w:tblPr>
      <w:tblGrid>
        <w:gridCol w:w="1949"/>
        <w:gridCol w:w="2624"/>
        <w:gridCol w:w="2216"/>
        <w:gridCol w:w="3026"/>
      </w:tblGrid>
      <w:tr>
        <w:trPr>
          <w:trHeight w:val="1334" w:hRule="atLeast"/>
        </w:trPr>
        <w:tc>
          <w:tcPr>
            <w:tcW w:w="1949"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624"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216" w:type="dxa"/>
            <w:tcBorders>
              <w:top w:val="single" w:sz="4" w:color="000000"/>
              <w:left w:val="single" w:sz="4" w:color="000000"/>
              <w:bottom w:val="single" w:sz="4" w:color="000000"/>
              <w:right w:val="single" w:sz="4" w:color="000000"/>
            </w:tcBorders>
            <w:vAlign w:val="bottom"/>
          </w:tcPr>
          <w:p>
            <w:pPr>
              <w:bidi w:val="0"/>
              <w:spacing w:before="0" w:after="160" w:line="259" w:lineRule="auto"/>
              <w:ind w:left="0" w:right="0" w:firstLine="0"/>
              <w:jc w:val="left"/>
            </w:pPr>
          </w:p>
        </w:tc>
        <w:tc>
          <w:tcPr>
            <w:tcW w:w="3026" w:type="dxa"/>
            <w:tcBorders>
              <w:top w:val="single" w:sz="4" w:color="000000"/>
              <w:left w:val="single" w:sz="4" w:color="000000"/>
              <w:bottom w:val="single" w:sz="4" w:color="000000"/>
              <w:right w:val="single" w:sz="4" w:color="000000"/>
            </w:tcBorders>
            <w:vAlign w:val="top"/>
          </w:tcPr>
          <w:p>
            <w:pPr>
              <w:spacing w:before="0" w:after="0" w:line="259" w:lineRule="auto"/>
              <w:ind w:left="1" w:right="51" w:firstLine="0"/>
              <w:jc w:val="left"/>
            </w:pPr>
            <w:r>
              <w:rPr>
                <w:rFonts w:cs="Arial" w:hAnsi="Arial" w:eastAsia="Arial" w:ascii="Arial"/>
              </w:rPr>
              <w:t xml:space="preserve">regional development agency in the region of South and Eastern Serbia for activities on development and improvement of regional development. </w:t>
            </w:r>
          </w:p>
        </w:tc>
      </w:tr>
      <w:tr>
        <w:trPr>
          <w:trHeight w:val="321" w:hRule="atLeast"/>
        </w:trPr>
        <w:tc>
          <w:tcPr>
            <w:tcW w:w="9816" w:type="dxa"/>
            <w:gridSpan w:val="4"/>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right="0" w:firstLine="0"/>
              <w:jc w:val="left"/>
            </w:pPr>
            <w:r>
              <w:rPr>
                <w:rFonts w:cs="Arial" w:hAnsi="Arial" w:eastAsia="Arial" w:ascii="Arial"/>
                <w:b w:val="1"/>
              </w:rPr>
              <w:t xml:space="preserve">PART II. ASSESSING NATIONAL INSTITUTION CAPACITY FOR PROJECT MANAGEMENT </w:t>
            </w:r>
          </w:p>
        </w:tc>
      </w:tr>
      <w:tr>
        <w:trPr>
          <w:trHeight w:val="513" w:hRule="atLeast"/>
        </w:trPr>
        <w:tc>
          <w:tcPr>
            <w:tcW w:w="9816" w:type="dxa"/>
            <w:gridSpan w:val="4"/>
            <w:tcBorders>
              <w:top w:val="single" w:sz="4" w:color="000000"/>
              <w:left w:val="single" w:sz="4" w:color="000000"/>
              <w:bottom w:val="single" w:sz="4" w:color="000000"/>
              <w:right w:val="single" w:sz="4" w:color="000000"/>
            </w:tcBorders>
            <w:shd w:val="clear" w:fill="ffff9a"/>
            <w:vAlign w:val="top"/>
          </w:tcPr>
          <w:p>
            <w:pPr>
              <w:spacing w:before="0" w:after="0" w:line="259" w:lineRule="auto"/>
              <w:ind w:left="0" w:right="0" w:firstLine="0"/>
              <w:jc w:val="left"/>
            </w:pPr>
            <w:r>
              <w:rPr>
                <w:rFonts w:cs="Arial" w:hAnsi="Arial" w:eastAsia="Arial" w:ascii="Arial"/>
                <w:b w:val="1"/>
              </w:rPr>
              <w:t xml:space="preserve">2.1 Managerial Capacity </w:t>
            </w:r>
          </w:p>
          <w:p>
            <w:pPr>
              <w:spacing w:before="0" w:after="0" w:line="259" w:lineRule="auto"/>
              <w:ind w:left="0" w:right="0" w:firstLine="0"/>
              <w:jc w:val="left"/>
            </w:pPr>
            <w:r>
              <w:rPr>
                <w:rFonts w:cs="Arial" w:hAnsi="Arial" w:eastAsia="Arial" w:ascii="Arial"/>
              </w:rPr>
              <w:t xml:space="preserve">Ability to plan, monitor and coordinate activities </w:t>
            </w:r>
          </w:p>
        </w:tc>
      </w:tr>
      <w:tr>
        <w:trPr>
          <w:trHeight w:val="6503" w:hRule="atLeast"/>
        </w:trPr>
        <w:tc>
          <w:tcPr>
            <w:tcW w:w="1949"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pPr>
            <w:r>
              <w:rPr>
                <w:rFonts w:cs="Arial" w:hAnsi="Arial" w:eastAsia="Arial" w:ascii="Arial"/>
              </w:rPr>
              <w:t xml:space="preserve">Planning, Monitoring &amp; Evaluation </w:t>
            </w:r>
          </w:p>
        </w:tc>
        <w:tc>
          <w:tcPr>
            <w:tcW w:w="2624" w:type="dxa"/>
            <w:tcBorders>
              <w:top w:val="single" w:sz="4" w:color="000000"/>
              <w:left w:val="single" w:sz="4" w:color="000000"/>
              <w:bottom w:val="single" w:sz="4" w:color="000000"/>
              <w:right w:val="single" w:sz="4" w:color="000000"/>
            </w:tcBorders>
            <w:vAlign w:val="top"/>
          </w:tcPr>
          <w:p>
            <w:pPr>
              <w:spacing w:before="0" w:after="61" w:line="240" w:lineRule="auto"/>
              <w:ind w:left="1" w:right="73" w:firstLine="0"/>
              <w:jc w:val="left"/>
            </w:pPr>
            <w:r>
              <w:rPr>
                <w:rFonts w:cs="Arial" w:hAnsi="Arial" w:eastAsia="Arial" w:ascii="Arial"/>
              </w:rPr>
              <w:t xml:space="preserve">Does the institution produce clear, internally consistent proposals and intervention frameworks, including detailed workplans? </w:t>
            </w:r>
          </w:p>
          <w:p>
            <w:pPr>
              <w:spacing w:before="0" w:after="61" w:line="239" w:lineRule="auto"/>
              <w:ind w:left="1" w:right="0" w:firstLine="0"/>
              <w:jc w:val="left"/>
            </w:pPr>
            <w:r>
              <w:rPr>
                <w:rFonts w:cs="Arial" w:hAnsi="Arial" w:eastAsia="Arial" w:ascii="Arial"/>
              </w:rPr>
              <w:t xml:space="preserve">Does the institution hold regular programme or project review meetings? </w:t>
            </w:r>
          </w:p>
          <w:p>
            <w:pPr>
              <w:spacing w:before="0" w:after="61" w:line="239" w:lineRule="auto"/>
              <w:ind w:left="1" w:right="0" w:firstLine="0"/>
              <w:jc w:val="left"/>
            </w:pPr>
            <w:r>
              <w:rPr>
                <w:rFonts w:cs="Arial" w:hAnsi="Arial" w:eastAsia="Arial" w:ascii="Arial"/>
              </w:rPr>
              <w:t xml:space="preserve">Are there measurable outputs/deliverables in the defined project plans? </w:t>
            </w:r>
          </w:p>
          <w:p>
            <w:pPr>
              <w:spacing w:before="0" w:after="0" w:line="259" w:lineRule="auto"/>
              <w:ind w:left="1" w:right="0" w:firstLine="0"/>
              <w:jc w:val="left"/>
            </w:pPr>
            <w:r>
              <w:rPr>
                <w:rFonts w:cs="Arial" w:hAnsi="Arial" w:eastAsia="Arial" w:ascii="Arial"/>
              </w:rPr>
              <w:t xml:space="preserve">Was the institution previously exposed to UNDP RBM approach/methodology or equivalent in other donor agencies?</w:t>
            </w:r>
            <w:r>
              <w:rPr>
                <w:rFonts w:cs="Arial" w:hAnsi="Arial" w:eastAsia="Arial" w:ascii="Arial"/>
              </w:rPr>
              <w:t xml:space="preserve"> </w:t>
            </w:r>
          </w:p>
        </w:tc>
        <w:tc>
          <w:tcPr>
            <w:tcW w:w="2216" w:type="dxa"/>
            <w:tcBorders>
              <w:top w:val="single" w:sz="4" w:color="000000"/>
              <w:left w:val="single" w:sz="4" w:color="000000"/>
              <w:bottom w:val="single" w:sz="4" w:color="000000"/>
              <w:right w:val="single" w:sz="4" w:color="000000"/>
            </w:tcBorders>
            <w:vAlign w:val="top"/>
          </w:tcPr>
          <w:p>
            <w:pPr>
              <w:spacing w:before="0" w:after="61" w:line="239" w:lineRule="auto"/>
              <w:ind w:left="1" w:right="5" w:firstLine="0"/>
              <w:jc w:val="left"/>
            </w:pPr>
            <w:r>
              <w:rPr>
                <w:rFonts w:cs="Arial" w:hAnsi="Arial" w:eastAsia="Arial" w:ascii="Arial"/>
              </w:rPr>
              <w:t xml:space="preserve">Well-designed project and programme documents </w:t>
            </w:r>
          </w:p>
          <w:p>
            <w:pPr>
              <w:spacing w:before="0" w:after="39" w:line="259" w:lineRule="auto"/>
              <w:ind w:left="1" w:right="0" w:firstLine="0"/>
              <w:jc w:val="left"/>
            </w:pPr>
            <w:r>
              <w:rPr>
                <w:rFonts w:cs="Arial" w:hAnsi="Arial" w:eastAsia="Arial" w:ascii="Arial"/>
              </w:rPr>
              <w:t xml:space="preserve">Action Plans/Work plans </w:t>
            </w:r>
          </w:p>
          <w:p>
            <w:pPr>
              <w:spacing w:before="0" w:after="40" w:line="259" w:lineRule="auto"/>
              <w:ind w:left="1" w:right="0" w:firstLine="0"/>
              <w:jc w:val="left"/>
            </w:pPr>
            <w:r>
              <w:rPr>
                <w:rFonts w:cs="Arial" w:hAnsi="Arial" w:eastAsia="Arial" w:ascii="Arial"/>
              </w:rPr>
              <w:t xml:space="preserve">Log frame or equivalent </w:t>
            </w:r>
          </w:p>
          <w:p>
            <w:pPr>
              <w:spacing w:before="0" w:after="39" w:line="259" w:lineRule="auto"/>
              <w:ind w:left="1" w:right="0" w:firstLine="0"/>
              <w:jc w:val="left"/>
            </w:pPr>
            <w:r>
              <w:rPr>
                <w:rFonts w:cs="Arial" w:hAnsi="Arial" w:eastAsia="Arial" w:ascii="Arial"/>
              </w:rPr>
              <w:t xml:space="preserve">Project reports </w:t>
            </w:r>
          </w:p>
          <w:p>
            <w:pPr>
              <w:spacing w:before="0" w:after="39" w:line="259" w:lineRule="auto"/>
              <w:ind w:left="1" w:right="0" w:firstLine="0"/>
              <w:jc w:val="left"/>
            </w:pPr>
            <w:r>
              <w:rPr>
                <w:rFonts w:cs="Arial" w:hAnsi="Arial" w:eastAsia="Arial" w:ascii="Arial"/>
              </w:rPr>
              <w:t xml:space="preserve">Evaluation reports </w:t>
            </w:r>
          </w:p>
          <w:p>
            <w:pPr>
              <w:spacing w:before="0" w:after="59" w:line="241" w:lineRule="auto"/>
              <w:ind w:left="1" w:right="0" w:firstLine="0"/>
              <w:jc w:val="left"/>
            </w:pPr>
            <w:r>
              <w:rPr>
                <w:rFonts w:cs="Arial" w:hAnsi="Arial" w:eastAsia="Arial" w:ascii="Arial"/>
              </w:rPr>
              <w:t xml:space="preserve">Indicators available in project plans </w:t>
            </w:r>
          </w:p>
          <w:p>
            <w:pPr>
              <w:spacing w:before="0" w:after="0" w:line="259" w:lineRule="auto"/>
              <w:ind w:left="1" w:right="0" w:firstLine="0"/>
              <w:jc w:val="left"/>
            </w:pPr>
            <w:r>
              <w:rPr>
                <w:rFonts w:cs="Arial" w:hAnsi="Arial" w:eastAsia="Arial" w:ascii="Arial"/>
              </w:rPr>
              <w:t xml:space="preserve">Lessons-Learned </w:t>
            </w:r>
          </w:p>
          <w:p>
            <w:pPr>
              <w:spacing w:before="0" w:after="0" w:line="259" w:lineRule="auto"/>
              <w:ind w:left="1" w:right="0" w:firstLine="0"/>
              <w:jc w:val="left"/>
            </w:pPr>
            <w:r>
              <w:rPr>
                <w:rFonts w:cs="Arial" w:hAnsi="Arial" w:eastAsia="Arial" w:ascii="Arial"/>
              </w:rPr>
              <w:t xml:space="preserve">reports </w:t>
            </w:r>
          </w:p>
        </w:tc>
        <w:tc>
          <w:tcPr>
            <w:tcW w:w="3026" w:type="dxa"/>
            <w:tcBorders>
              <w:top w:val="single" w:sz="4" w:color="000000"/>
              <w:left w:val="single" w:sz="4" w:color="000000"/>
              <w:bottom w:val="single" w:sz="4" w:color="000000"/>
              <w:right w:val="single" w:sz="4" w:color="000000"/>
            </w:tcBorders>
            <w:vAlign w:val="top"/>
          </w:tcPr>
          <w:p>
            <w:pPr>
              <w:spacing w:before="0" w:after="61" w:line="240" w:lineRule="auto"/>
              <w:ind w:left="1" w:right="0" w:firstLine="0"/>
              <w:jc w:val="left"/>
            </w:pPr>
            <w:r>
              <w:rPr>
                <w:rFonts w:cs="Arial" w:hAnsi="Arial" w:eastAsia="Arial" w:ascii="Arial"/>
              </w:rPr>
              <w:t xml:space="preserve">Yes, the Institution has a formally adopted Business plan for 3 years, and following the plan we have produced Action plans, Logical frameworks including detailed action workplans for every project. We are producing week plans, monthly plans, quarterly reports, inception reports, annual reports and Monthly basis trainings from various areas.  </w:t>
            </w:r>
          </w:p>
          <w:p>
            <w:pPr>
              <w:spacing w:before="0" w:after="60" w:line="240" w:lineRule="auto"/>
              <w:ind w:left="1" w:right="0" w:firstLine="0"/>
              <w:jc w:val="left"/>
            </w:pPr>
            <w:r>
              <w:rPr>
                <w:rFonts w:cs="Arial" w:hAnsi="Arial" w:eastAsia="Arial" w:ascii="Arial"/>
              </w:rPr>
              <w:t xml:space="preserve">The institution holds regular programme and project review meetings with the staff, stakeholders, founding members. </w:t>
            </w:r>
          </w:p>
          <w:p>
            <w:pPr>
              <w:spacing w:before="0" w:after="0" w:line="241" w:lineRule="auto"/>
              <w:ind w:left="1" w:right="0" w:firstLine="0"/>
              <w:jc w:val="left"/>
            </w:pPr>
            <w:r>
              <w:rPr>
                <w:rFonts w:cs="Arial" w:hAnsi="Arial" w:eastAsia="Arial" w:ascii="Arial"/>
              </w:rPr>
              <w:t xml:space="preserve">Center was created and supported through </w:t>
            </w:r>
            <w:r>
              <w:rPr>
                <w:rFonts w:cs="Arial" w:hAnsi="Arial" w:eastAsia="Arial" w:ascii="Arial"/>
                <w:b w:val="1"/>
              </w:rPr>
              <w:t xml:space="preserve">UNDP program MIR 2</w:t>
            </w:r>
            <w:r>
              <w:rPr>
                <w:rFonts w:cs="Arial" w:hAnsi="Arial" w:eastAsia="Arial" w:ascii="Arial"/>
              </w:rPr>
              <w:t xml:space="preserve">, </w:t>
            </w:r>
          </w:p>
          <w:p>
            <w:pPr>
              <w:spacing w:before="0" w:after="0" w:line="259" w:lineRule="auto"/>
              <w:ind w:left="1" w:right="81" w:firstLine="0"/>
              <w:jc w:val="left"/>
            </w:pPr>
            <w:r>
              <w:rPr>
                <w:rFonts w:cs="Arial" w:hAnsi="Arial" w:eastAsia="Arial" w:ascii="Arial"/>
              </w:rPr>
              <w:t xml:space="preserve">period 2006 until 2008;  Institution has received the Operating Grant for RDA activities from the </w:t>
            </w:r>
            <w:r>
              <w:rPr>
                <w:rFonts w:cs="Arial" w:hAnsi="Arial" w:eastAsia="Arial" w:ascii="Arial"/>
                <w:b w:val="1"/>
              </w:rPr>
              <w:t xml:space="preserve">EC</w:t>
            </w:r>
            <w:r>
              <w:rPr>
                <w:rFonts w:cs="Arial" w:hAnsi="Arial" w:eastAsia="Arial" w:ascii="Arial"/>
              </w:rPr>
              <w:t xml:space="preserve"> for the period from 2008 – 2012</w:t>
            </w:r>
            <w:r>
              <w:rPr>
                <w:rFonts w:cs="Arial" w:hAnsi="Arial" w:eastAsia="Arial" w:ascii="Arial"/>
                <w:color w:val="32339a"/>
              </w:rPr>
              <w:t xml:space="preserve">.  </w:t>
            </w:r>
            <w:r>
              <w:rPr>
                <w:rFonts w:cs="Arial" w:hAnsi="Arial" w:eastAsia="Arial" w:ascii="Arial"/>
              </w:rPr>
              <w:t xml:space="preserve">Center received 2 projects from the </w:t>
            </w:r>
            <w:r>
              <w:rPr>
                <w:rFonts w:cs="Arial" w:hAnsi="Arial" w:eastAsia="Arial" w:ascii="Arial"/>
                <w:b w:val="1"/>
              </w:rPr>
              <w:t xml:space="preserve">Austrian Development Agency</w:t>
            </w:r>
            <w:r>
              <w:rPr>
                <w:rFonts w:cs="Arial" w:hAnsi="Arial" w:eastAsia="Arial" w:ascii="Arial"/>
              </w:rPr>
              <w:t xml:space="preserve">, from 2008 until 2011, and from 2010 until 2012. </w:t>
            </w:r>
          </w:p>
        </w:tc>
      </w:tr>
      <w:tr>
        <w:trPr>
          <w:trHeight w:val="3725" w:hRule="atLeast"/>
        </w:trPr>
        <w:tc>
          <w:tcPr>
            <w:tcW w:w="1949" w:type="dxa"/>
            <w:tcBorders>
              <w:top w:val="single" w:sz="4" w:color="000000"/>
              <w:left w:val="single" w:sz="4" w:color="000000"/>
              <w:bottom w:val="single" w:sz="4" w:color="000000"/>
              <w:right w:val="single" w:sz="4" w:color="000000"/>
            </w:tcBorders>
            <w:vAlign w:val="top"/>
          </w:tcPr>
          <w:p>
            <w:pPr>
              <w:spacing w:before="0" w:after="0" w:line="259" w:lineRule="auto"/>
              <w:ind w:left="0" w:right="89" w:firstLine="0"/>
            </w:pPr>
            <w:r>
              <w:rPr>
                <w:rFonts w:cs="Arial" w:hAnsi="Arial" w:eastAsia="Arial" w:ascii="Arial"/>
              </w:rPr>
              <w:t xml:space="preserve">2.1.2 Reporting and performance track record </w:t>
            </w:r>
          </w:p>
        </w:tc>
        <w:tc>
          <w:tcPr>
            <w:tcW w:w="2624" w:type="dxa"/>
            <w:tcBorders>
              <w:top w:val="single" w:sz="4" w:color="000000"/>
              <w:left w:val="single" w:sz="4" w:color="000000"/>
              <w:bottom w:val="single" w:sz="4" w:color="000000"/>
              <w:right w:val="single" w:sz="4" w:color="000000"/>
            </w:tcBorders>
            <w:vAlign w:val="top"/>
          </w:tcPr>
          <w:p>
            <w:pPr>
              <w:spacing w:before="0" w:after="60" w:line="240" w:lineRule="auto"/>
              <w:ind w:left="1" w:right="20" w:firstLine="0"/>
              <w:jc w:val="left"/>
            </w:pPr>
            <w:r>
              <w:rPr>
                <w:rFonts w:cs="Arial" w:hAnsi="Arial" w:eastAsia="Arial" w:ascii="Arial"/>
              </w:rPr>
              <w:t xml:space="preserve">Does the institution monitor progress against well defined indicator and targets, and evaluate its programme/project achievements? </w:t>
            </w:r>
          </w:p>
          <w:p>
            <w:pPr>
              <w:spacing w:before="0" w:after="0" w:line="259" w:lineRule="auto"/>
              <w:ind w:left="1" w:right="11" w:firstLine="0"/>
              <w:jc w:val="left"/>
            </w:pPr>
            <w:r>
              <w:rPr>
                <w:rFonts w:cs="Arial" w:hAnsi="Arial" w:eastAsia="Arial" w:ascii="Arial"/>
              </w:rPr>
              <w:t xml:space="preserve">Does the institution report to its stakeholders on a regular basis?</w:t>
            </w:r>
            <w:r>
              <w:rPr>
                <w:rFonts w:cs="Arial" w:hAnsi="Arial" w:eastAsia="Arial" w:ascii="Arial"/>
              </w:rPr>
              <w:t xml:space="preserve"> </w:t>
            </w:r>
          </w:p>
        </w:tc>
        <w:tc>
          <w:tcPr>
            <w:tcW w:w="2216"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Reports to donors and other stakeholders Reporting system </w:t>
            </w:r>
          </w:p>
        </w:tc>
        <w:tc>
          <w:tcPr>
            <w:tcW w:w="3026" w:type="dxa"/>
            <w:tcBorders>
              <w:top w:val="single" w:sz="4" w:color="000000"/>
              <w:left w:val="single" w:sz="4" w:color="000000"/>
              <w:bottom w:val="single" w:sz="4" w:color="000000"/>
              <w:right w:val="single" w:sz="4" w:color="000000"/>
            </w:tcBorders>
            <w:vAlign w:val="top"/>
          </w:tcPr>
          <w:p>
            <w:pPr>
              <w:spacing w:before="0" w:after="61" w:line="240" w:lineRule="auto"/>
              <w:ind w:left="1" w:right="2" w:firstLine="0"/>
              <w:jc w:val="left"/>
            </w:pPr>
            <w:r>
              <w:rPr>
                <w:rFonts w:cs="Arial" w:hAnsi="Arial" w:eastAsia="Arial" w:ascii="Arial"/>
              </w:rPr>
              <w:t xml:space="preserve">The Center is reporting to donors on regular basis, following well defined indicators, targets, milestones, etc.  </w:t>
            </w:r>
          </w:p>
          <w:p>
            <w:pPr>
              <w:spacing w:before="0" w:after="61" w:line="240" w:lineRule="auto"/>
              <w:ind w:left="1" w:right="0" w:firstLine="0"/>
              <w:jc w:val="left"/>
            </w:pPr>
            <w:r>
              <w:rPr>
                <w:rFonts w:cs="Arial" w:hAnsi="Arial" w:eastAsia="Arial" w:ascii="Arial"/>
              </w:rPr>
              <w:t xml:space="preserve">The evaluation process was done previously by MIR 2 programme, EC delegation, and auditing companies. Also there is a system of evaluation by the PSC.   </w:t>
            </w:r>
          </w:p>
          <w:p>
            <w:pPr>
              <w:spacing w:before="0" w:after="0" w:line="259" w:lineRule="auto"/>
              <w:ind w:left="1" w:right="22" w:firstLine="0"/>
              <w:jc w:val="left"/>
            </w:pPr>
            <w:r>
              <w:rPr>
                <w:rFonts w:cs="Arial" w:hAnsi="Arial" w:eastAsia="Arial" w:ascii="Arial"/>
              </w:rPr>
              <w:t xml:space="preserve">The Agency has Assembly meetings on regular basis, reports on monthly basis, and the system of reporting to the stakeholders as well. </w:t>
            </w:r>
          </w:p>
        </w:tc>
      </w:tr>
      <w:tr>
        <w:trPr>
          <w:trHeight w:val="320" w:hRule="atLeast"/>
        </w:trPr>
        <w:tc>
          <w:tcPr>
            <w:tcW w:w="9816" w:type="dxa"/>
            <w:gridSpan w:val="4"/>
            <w:tcBorders>
              <w:top w:val="single" w:sz="4" w:color="000000"/>
              <w:left w:val="single" w:sz="4" w:color="000000"/>
              <w:bottom w:val="single" w:sz="4" w:color="000000"/>
              <w:right w:val="single" w:sz="4" w:color="000000"/>
            </w:tcBorders>
            <w:shd w:val="clear" w:fill="ffff9a"/>
            <w:vAlign w:val="top"/>
          </w:tcPr>
          <w:p>
            <w:pPr>
              <w:spacing w:before="0" w:after="0" w:line="259" w:lineRule="auto"/>
              <w:ind w:left="0" w:right="0" w:firstLine="0"/>
              <w:jc w:val="left"/>
            </w:pPr>
            <w:r>
              <w:rPr>
                <w:rFonts w:cs="Arial" w:hAnsi="Arial" w:eastAsia="Arial" w:ascii="Arial"/>
                <w:b w:val="1"/>
              </w:rPr>
              <w:t xml:space="preserve">2.2 Technical Capacity </w:t>
            </w:r>
          </w:p>
        </w:tc>
      </w:tr>
      <w:tr>
        <w:trPr>
          <w:trHeight w:val="2152" w:hRule="atLeast"/>
        </w:trPr>
        <w:tc>
          <w:tcPr>
            <w:tcW w:w="1949"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Arial" w:hAnsi="Arial" w:eastAsia="Arial" w:ascii="Arial"/>
              </w:rPr>
              <w:t xml:space="preserve">2.2.1 Specialization </w:t>
            </w:r>
          </w:p>
        </w:tc>
        <w:tc>
          <w:tcPr>
            <w:tcW w:w="2624" w:type="dxa"/>
            <w:tcBorders>
              <w:top w:val="single" w:sz="4" w:color="000000"/>
              <w:left w:val="single" w:sz="4" w:color="000000"/>
              <w:bottom w:val="single" w:sz="4" w:color="000000"/>
              <w:right w:val="single" w:sz="4" w:color="000000"/>
            </w:tcBorders>
            <w:vAlign w:val="top"/>
          </w:tcPr>
          <w:p>
            <w:pPr>
              <w:spacing w:before="0" w:after="59" w:line="241" w:lineRule="auto"/>
              <w:ind w:left="1" w:right="0" w:hanging="0"/>
              <w:jc w:val="left"/>
            </w:pPr>
            <w:r>
              <w:rPr>
                <w:rFonts w:cs="Arial" w:hAnsi="Arial" w:eastAsia="Arial" w:ascii="Arial"/>
              </w:rPr>
              <w:t xml:space="preserve">Does the institution have the technical skills required? </w:t>
            </w:r>
          </w:p>
          <w:p>
            <w:pPr>
              <w:spacing w:before="0" w:after="59" w:line="241" w:lineRule="auto"/>
              <w:ind w:left="1" w:right="0" w:firstLine="0"/>
              <w:jc w:val="left"/>
            </w:pPr>
            <w:r>
              <w:rPr>
                <w:rFonts w:cs="Arial" w:hAnsi="Arial" w:eastAsia="Arial" w:ascii="Arial"/>
              </w:rPr>
              <w:t xml:space="preserve">Does the institution have the knowledge needed? </w:t>
            </w:r>
          </w:p>
          <w:p>
            <w:pPr>
              <w:spacing w:before="0" w:after="0" w:line="240" w:lineRule="auto"/>
              <w:ind w:left="1" w:right="0" w:firstLine="0"/>
              <w:jc w:val="left"/>
            </w:pPr>
            <w:r>
              <w:rPr>
                <w:rFonts w:cs="Arial" w:hAnsi="Arial" w:eastAsia="Arial" w:ascii="Arial"/>
              </w:rPr>
              <w:t xml:space="preserve">Does the institution keep informed about the latest techniques/ </w:t>
            </w:r>
          </w:p>
          <w:p>
            <w:pPr>
              <w:spacing w:before="0" w:after="0" w:line="259" w:lineRule="auto"/>
              <w:ind w:left="1" w:right="0" w:firstLine="0"/>
              <w:jc w:val="left"/>
            </w:pPr>
            <w:r>
              <w:rPr>
                <w:rFonts w:cs="Arial" w:hAnsi="Arial" w:eastAsia="Arial" w:ascii="Arial"/>
              </w:rPr>
              <w:t xml:space="preserve">competencies/policies/trends </w:t>
            </w:r>
          </w:p>
        </w:tc>
        <w:tc>
          <w:tcPr>
            <w:tcW w:w="2216" w:type="dxa"/>
            <w:tcBorders>
              <w:top w:val="single" w:sz="4" w:color="000000"/>
              <w:left w:val="single" w:sz="4" w:color="000000"/>
              <w:bottom w:val="single" w:sz="4" w:color="000000"/>
              <w:right w:val="single" w:sz="4" w:color="000000"/>
            </w:tcBorders>
            <w:vAlign w:val="top"/>
          </w:tcPr>
          <w:p>
            <w:pPr>
              <w:spacing w:before="0" w:after="59" w:line="240" w:lineRule="auto"/>
              <w:ind w:left="1" w:right="85" w:firstLine="0"/>
              <w:jc w:val="left"/>
            </w:pPr>
            <w:r>
              <w:rPr>
                <w:rFonts w:cs="Arial" w:hAnsi="Arial" w:eastAsia="Arial" w:ascii="Arial"/>
              </w:rPr>
              <w:t xml:space="preserve">Publications on activities, specific issues, analytical articles, policies </w:t>
            </w:r>
          </w:p>
          <w:p>
            <w:pPr>
              <w:spacing w:before="0" w:after="0" w:line="259" w:lineRule="auto"/>
              <w:ind w:left="1" w:right="25" w:firstLine="0"/>
              <w:jc w:val="left"/>
            </w:pPr>
            <w:r>
              <w:rPr>
                <w:rFonts w:cs="Arial" w:hAnsi="Arial" w:eastAsia="Arial" w:ascii="Arial"/>
              </w:rPr>
              <w:t xml:space="preserve">Reports from participation in international, regional, national or local </w:t>
            </w:r>
          </w:p>
        </w:tc>
        <w:tc>
          <w:tcPr>
            <w:tcW w:w="3026" w:type="dxa"/>
            <w:tcBorders>
              <w:top w:val="single" w:sz="4" w:color="000000"/>
              <w:left w:val="single" w:sz="4" w:color="000000"/>
              <w:bottom w:val="single" w:sz="4" w:color="000000"/>
              <w:right w:val="single" w:sz="4" w:color="000000"/>
            </w:tcBorders>
            <w:vAlign w:val="top"/>
          </w:tcPr>
          <w:p>
            <w:pPr>
              <w:spacing w:before="0" w:after="0" w:line="259" w:lineRule="auto"/>
              <w:ind w:left="1" w:right="71" w:firstLine="0"/>
              <w:jc w:val="left"/>
            </w:pPr>
            <w:r>
              <w:rPr>
                <w:rFonts w:cs="Arial" w:hAnsi="Arial" w:eastAsia="Arial" w:ascii="Arial"/>
              </w:rPr>
              <w:t xml:space="preserve">The staff within the Agency has technical skills required for the AoR developed by trainings, seminars, etc. as well as long term experience achieved through previous work. Publications on activities are developed regularly, as well as articles, researches, etc.  </w:t>
            </w:r>
          </w:p>
        </w:tc>
      </w:tr>
    </w:tbl>
    <w:p>
      <w:pPr>
        <w:sectPr>
          <w:footerReference w:type="even" r:id="rId12"/>
          <w:footerReference w:type="default" r:id="rId11"/>
          <w:footerReference w:type="first" r:id="rId10"/>
          <w:footnotePr>
            <w:numRestart w:val="eachPage"/>
          </w:footnotePr>
          <w:pgSz w:w="11900" w:h="16840" w:orient="portrait"/>
          <w:pgMar w:left="1151" w:top="706" w:right="1085" w:bottom="495"/>
          <w:pgNumType w:fmt="decimal"/>
          <w:cols/>
          <w:titlePg/>
        </w:sectPr>
      </w:pPr>
    </w:p>
    <w:p>
      <w:pPr>
        <w:spacing w:before="0" w:after="0" w:line="259" w:lineRule="auto"/>
        <w:ind w:left="-1440" w:right="10460" w:firstLine="0"/>
        <w:jc w:val="left"/>
      </w:pPr>
    </w:p>
    <w:tbl>
      <w:tblPr>
        <w:tblStyle w:val="TableGrid"/>
        <w:tblW w:w="9818" w:type="dxa"/>
        <w:tblInd w:w="-397" w:type="dxa"/>
        <w:tblCellMar>
          <w:top w:w="50" w:type="dxa"/>
          <w:left w:w="0" w:type="dxa"/>
          <w:bottom w:w="0" w:type="dxa"/>
          <w:right w:w="57" w:type="dxa"/>
        </w:tblCellMar>
      </w:tblPr>
      <w:tblGrid>
        <w:gridCol w:w="1950"/>
        <w:gridCol w:w="2624"/>
        <w:gridCol w:w="1808"/>
        <w:gridCol w:w="408"/>
        <w:gridCol w:w="3028"/>
      </w:tblGrid>
      <w:tr>
        <w:trPr>
          <w:trHeight w:val="4422" w:hRule="atLeast"/>
        </w:trPr>
        <w:tc>
          <w:tcPr>
            <w:tcW w:w="1950"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624" w:type="dxa"/>
            <w:tcBorders>
              <w:top w:val="single" w:sz="4" w:color="000000"/>
              <w:left w:val="single" w:sz="4" w:color="000000"/>
              <w:bottom w:val="single" w:sz="4" w:color="000000"/>
              <w:right w:val="single" w:sz="4" w:color="000000"/>
            </w:tcBorders>
            <w:vAlign w:val="top"/>
          </w:tcPr>
          <w:p>
            <w:pPr>
              <w:spacing w:before="0" w:after="39" w:line="259" w:lineRule="auto"/>
              <w:ind w:left="108" w:right="0" w:firstLine="0"/>
              <w:jc w:val="left"/>
            </w:pPr>
            <w:r>
              <w:rPr>
                <w:rFonts w:cs="Arial" w:hAnsi="Arial" w:eastAsia="Arial" w:ascii="Arial"/>
              </w:rPr>
              <w:t xml:space="preserve">in its area of expertise? </w:t>
            </w:r>
          </w:p>
          <w:p>
            <w:pPr>
              <w:spacing w:before="0" w:after="0" w:line="259" w:lineRule="auto"/>
              <w:ind w:left="108" w:right="0" w:firstLine="0"/>
              <w:jc w:val="left"/>
            </w:pPr>
            <w:r>
              <w:rPr>
                <w:rFonts w:cs="Arial" w:hAnsi="Arial" w:eastAsia="Arial" w:ascii="Arial"/>
              </w:rPr>
              <w:t xml:space="preserve">Does the institution have the skills and competencies that complement those of UNDP? </w:t>
            </w:r>
          </w:p>
        </w:tc>
        <w:tc>
          <w:tcPr>
            <w:tcW w:w="1808" w:type="dxa"/>
            <w:tcBorders>
              <w:top w:val="single" w:sz="4" w:color="000000"/>
              <w:left w:val="single" w:sz="4" w:color="000000"/>
              <w:bottom w:val="single" w:sz="4" w:color="000000"/>
              <w:right w:val="nil"/>
            </w:tcBorders>
            <w:vAlign w:val="top"/>
          </w:tcPr>
          <w:p>
            <w:pPr>
              <w:spacing w:before="0" w:after="61" w:line="239" w:lineRule="auto"/>
              <w:ind w:left="108" w:right="0" w:firstLine="0"/>
              <w:jc w:val="left"/>
            </w:pPr>
            <w:r>
              <w:rPr>
                <w:rFonts w:cs="Arial" w:hAnsi="Arial" w:eastAsia="Arial" w:ascii="Arial"/>
              </w:rPr>
              <w:t xml:space="preserve">meetings and conferences </w:t>
            </w:r>
          </w:p>
          <w:p>
            <w:pPr>
              <w:spacing w:before="0" w:after="60" w:line="239" w:lineRule="auto"/>
              <w:ind w:left="108" w:right="0" w:firstLine="0"/>
              <w:jc w:val="left"/>
            </w:pPr>
            <w:r>
              <w:rPr>
                <w:rFonts w:cs="Arial" w:hAnsi="Arial" w:eastAsia="Arial" w:ascii="Arial"/>
              </w:rPr>
              <w:t xml:space="preserve">Tools methodologies </w:t>
            </w:r>
          </w:p>
          <w:p>
            <w:pPr>
              <w:spacing w:before="0" w:after="0" w:line="259" w:lineRule="auto"/>
              <w:ind w:left="108" w:right="0" w:firstLine="0"/>
              <w:jc w:val="left"/>
            </w:pPr>
            <w:r>
              <w:rPr>
                <w:rFonts w:cs="Arial" w:hAnsi="Arial" w:eastAsia="Arial" w:ascii="Arial"/>
              </w:rPr>
              <w:t xml:space="preserve">Evaluations and assessments </w:t>
            </w:r>
          </w:p>
        </w:tc>
        <w:tc>
          <w:tcPr>
            <w:tcW w:w="408" w:type="dxa"/>
            <w:tcBorders>
              <w:top w:val="single" w:sz="4" w:color="000000"/>
              <w:left w:val="nil"/>
              <w:bottom w:val="single" w:sz="4" w:color="000000"/>
              <w:right w:val="single" w:sz="4" w:color="000000"/>
            </w:tcBorders>
            <w:vAlign w:val="top"/>
          </w:tcPr>
          <w:p>
            <w:pPr>
              <w:spacing w:before="0" w:after="0" w:line="259" w:lineRule="auto"/>
              <w:ind w:left="0" w:right="0" w:firstLine="0"/>
            </w:pPr>
            <w:r>
              <w:rPr>
                <w:rFonts w:cs="Arial" w:hAnsi="Arial" w:eastAsia="Arial" w:ascii="Arial"/>
              </w:rPr>
              <w:t xml:space="preserve">and </w:t>
            </w:r>
          </w:p>
        </w:tc>
        <w:tc>
          <w:tcPr>
            <w:tcW w:w="3028" w:type="dxa"/>
            <w:tcBorders>
              <w:top w:val="single" w:sz="4" w:color="000000"/>
              <w:left w:val="single" w:sz="4" w:color="000000"/>
              <w:bottom w:val="single" w:sz="4" w:color="000000"/>
              <w:right w:val="single" w:sz="4" w:color="000000"/>
            </w:tcBorders>
            <w:vAlign w:val="top"/>
          </w:tcPr>
          <w:p>
            <w:pPr>
              <w:spacing w:before="0" w:after="1" w:line="240" w:lineRule="auto"/>
              <w:ind w:left="108" w:right="0" w:firstLine="0"/>
              <w:jc w:val="left"/>
            </w:pPr>
            <w:r>
              <w:rPr>
                <w:rFonts w:cs="Arial" w:hAnsi="Arial" w:eastAsia="Arial" w:ascii="Arial"/>
              </w:rPr>
              <w:t xml:space="preserve">The staff is highly educated with faculty diploma at least, and regularly attend local, national and international meetings and conferences and seminars, as well </w:t>
            </w:r>
          </w:p>
          <w:p>
            <w:pPr>
              <w:spacing w:before="0" w:after="60" w:line="240" w:lineRule="auto"/>
              <w:ind w:left="108" w:right="0" w:firstLine="0"/>
              <w:jc w:val="left"/>
            </w:pPr>
            <w:r>
              <w:rPr>
                <w:rFonts w:cs="Arial" w:hAnsi="Arial" w:eastAsia="Arial" w:ascii="Arial"/>
              </w:rPr>
              <w:t xml:space="preserve">as trade Fairs, etc, in line with TNA recommendations and requirements of specific projects that are being prepared or implemented. </w:t>
            </w:r>
          </w:p>
          <w:p>
            <w:pPr>
              <w:spacing w:before="0" w:after="1" w:line="240" w:lineRule="auto"/>
              <w:ind w:left="108" w:right="0" w:firstLine="0"/>
              <w:jc w:val="left"/>
            </w:pPr>
            <w:r>
              <w:rPr>
                <w:rFonts w:cs="Arial" w:hAnsi="Arial" w:eastAsia="Arial" w:ascii="Arial"/>
              </w:rPr>
              <w:t xml:space="preserve">The Agency follows all new techniques and updates all necessary information on latest </w:t>
            </w:r>
          </w:p>
          <w:p>
            <w:pPr>
              <w:spacing w:before="0" w:after="0" w:line="259" w:lineRule="auto"/>
              <w:ind w:left="108" w:right="0" w:firstLine="0"/>
              <w:jc w:val="left"/>
            </w:pPr>
            <w:r>
              <w:rPr>
                <w:rFonts w:cs="Arial" w:hAnsi="Arial" w:eastAsia="Arial" w:ascii="Arial"/>
              </w:rPr>
              <w:t xml:space="preserve">progress of policies, trends etc. An assessment has been done by independent consultants occasionally.  </w:t>
            </w:r>
          </w:p>
        </w:tc>
      </w:tr>
      <w:tr>
        <w:trPr>
          <w:trHeight w:val="6562" w:hRule="atLeast"/>
        </w:trPr>
        <w:tc>
          <w:tcPr>
            <w:tcW w:w="1950" w:type="dxa"/>
            <w:tcBorders>
              <w:top w:val="single" w:sz="4" w:color="000000"/>
              <w:left w:val="single" w:sz="4" w:color="000000"/>
              <w:bottom w:val="single" w:sz="4" w:color="000000"/>
              <w:right w:val="single" w:sz="4" w:color="000000"/>
            </w:tcBorders>
            <w:vAlign w:val="top"/>
          </w:tcPr>
          <w:p>
            <w:pPr>
              <w:spacing w:before="0" w:after="0" w:line="259" w:lineRule="auto"/>
              <w:ind w:left="108" w:right="23" w:firstLine="0"/>
              <w:jc w:val="left"/>
            </w:pPr>
            <w:r>
              <w:rPr>
                <w:rFonts w:cs="Arial" w:hAnsi="Arial" w:eastAsia="Arial" w:ascii="Arial"/>
              </w:rPr>
              <w:t xml:space="preserve">2.2.2 Ability to monitor the technical aspects of the project. </w:t>
            </w:r>
          </w:p>
        </w:tc>
        <w:tc>
          <w:tcPr>
            <w:tcW w:w="2624" w:type="dxa"/>
            <w:tcBorders>
              <w:top w:val="single" w:sz="4" w:color="000000"/>
              <w:left w:val="single" w:sz="4" w:color="000000"/>
              <w:bottom w:val="single" w:sz="4" w:color="000000"/>
              <w:right w:val="single" w:sz="4" w:color="000000"/>
            </w:tcBorders>
            <w:vAlign w:val="top"/>
          </w:tcPr>
          <w:p>
            <w:pPr>
              <w:spacing w:before="0" w:after="59" w:line="240" w:lineRule="auto"/>
              <w:ind w:left="108" w:right="0" w:firstLine="0"/>
              <w:jc w:val="left"/>
            </w:pPr>
            <w:r>
              <w:rPr>
                <w:rFonts w:cs="Arial" w:hAnsi="Arial" w:eastAsia="Arial" w:ascii="Arial"/>
              </w:rPr>
              <w:t xml:space="preserve">Does the institution have access to relevant information/resources and experience? </w:t>
            </w:r>
          </w:p>
          <w:p>
            <w:pPr>
              <w:spacing w:before="0" w:after="59" w:line="240" w:lineRule="auto"/>
              <w:ind w:left="108" w:right="33" w:firstLine="0"/>
              <w:jc w:val="left"/>
            </w:pPr>
            <w:r>
              <w:rPr>
                <w:rFonts w:cs="Arial" w:hAnsi="Arial" w:eastAsia="Arial" w:ascii="Arial"/>
              </w:rPr>
              <w:t xml:space="preserve">Does the institution have useful contacts and networks? </w:t>
            </w:r>
          </w:p>
          <w:p>
            <w:pPr>
              <w:spacing w:before="0" w:after="59" w:line="240" w:lineRule="auto"/>
              <w:ind w:left="108" w:right="0" w:firstLine="0"/>
              <w:jc w:val="left"/>
            </w:pPr>
            <w:r>
              <w:rPr>
                <w:rFonts w:cs="Arial" w:hAnsi="Arial" w:eastAsia="Arial" w:ascii="Arial"/>
              </w:rPr>
              <w:t xml:space="preserve">Does the institution know how to get baseline data, develop indicators? </w:t>
            </w:r>
          </w:p>
          <w:p>
            <w:pPr>
              <w:spacing w:before="0" w:after="0" w:line="259" w:lineRule="auto"/>
              <w:ind w:left="108" w:right="0" w:firstLine="0"/>
              <w:jc w:val="left"/>
            </w:pPr>
            <w:r>
              <w:rPr>
                <w:rFonts w:cs="Arial" w:hAnsi="Arial" w:eastAsia="Arial" w:ascii="Arial"/>
              </w:rPr>
              <w:t xml:space="preserve">Does it apply effective approaches to reach its targets (i.e participatory methods)? </w:t>
            </w:r>
          </w:p>
        </w:tc>
        <w:tc>
          <w:tcPr>
            <w:tcW w:w="2216" w:type="dxa"/>
            <w:gridSpan w:val="2"/>
            <w:tcBorders>
              <w:top w:val="single" w:sz="4" w:color="000000"/>
              <w:left w:val="single" w:sz="4" w:color="000000"/>
              <w:bottom w:val="single" w:sz="4" w:color="000000"/>
              <w:right w:val="single" w:sz="4" w:color="000000"/>
            </w:tcBorders>
            <w:vAlign w:val="top"/>
          </w:tcPr>
          <w:p>
            <w:pPr>
              <w:spacing w:before="0" w:after="0" w:line="259" w:lineRule="auto"/>
              <w:ind w:left="108" w:right="0" w:firstLine="0"/>
              <w:jc w:val="left"/>
            </w:pPr>
            <w:r>
              <w:rPr>
                <w:rFonts w:cs="Arial" w:hAnsi="Arial" w:eastAsia="Arial" w:ascii="Arial"/>
              </w:rPr>
              <w:t xml:space="preserve">Evaluations and </w:t>
            </w:r>
          </w:p>
          <w:p>
            <w:pPr>
              <w:spacing w:before="0" w:after="39" w:line="259" w:lineRule="auto"/>
              <w:ind w:left="108" w:right="0" w:firstLine="0"/>
              <w:jc w:val="left"/>
            </w:pPr>
            <w:r>
              <w:rPr>
                <w:rFonts w:cs="Arial" w:hAnsi="Arial" w:eastAsia="Arial" w:ascii="Arial"/>
              </w:rPr>
              <w:t xml:space="preserve">Assessments </w:t>
            </w:r>
          </w:p>
          <w:p>
            <w:pPr>
              <w:spacing w:before="0" w:after="59" w:line="241" w:lineRule="auto"/>
              <w:ind w:left="108" w:right="0" w:firstLine="0"/>
              <w:jc w:val="left"/>
            </w:pPr>
            <w:r>
              <w:rPr>
                <w:rFonts w:cs="Arial" w:hAnsi="Arial" w:eastAsia="Arial" w:ascii="Arial"/>
              </w:rPr>
              <w:t xml:space="preserve">Methodologies/training materials  </w:t>
            </w:r>
          </w:p>
          <w:p>
            <w:pPr>
              <w:spacing w:before="0" w:after="60" w:line="240" w:lineRule="auto"/>
              <w:ind w:left="108" w:right="49" w:firstLine="0"/>
              <w:jc w:val="left"/>
            </w:pPr>
            <w:r>
              <w:rPr>
                <w:rFonts w:cs="Arial" w:hAnsi="Arial" w:eastAsia="Arial" w:ascii="Arial"/>
              </w:rPr>
              <w:t xml:space="preserve">Use of toolkits, indicators and benchmarks/capacitydevelopment tools </w:t>
            </w:r>
          </w:p>
          <w:p>
            <w:pPr>
              <w:spacing w:before="0" w:after="40" w:line="259" w:lineRule="auto"/>
              <w:ind w:left="108" w:right="0" w:firstLine="0"/>
              <w:jc w:val="left"/>
            </w:pPr>
            <w:r>
              <w:rPr>
                <w:rFonts w:cs="Arial" w:hAnsi="Arial" w:eastAsia="Arial" w:ascii="Arial"/>
              </w:rPr>
              <w:t xml:space="preserve">Databases </w:t>
            </w:r>
          </w:p>
          <w:p>
            <w:pPr>
              <w:spacing w:before="0" w:after="0" w:line="259" w:lineRule="auto"/>
              <w:ind w:left="108" w:right="0" w:firstLine="0"/>
              <w:jc w:val="left"/>
            </w:pPr>
            <w:r>
              <w:rPr>
                <w:rFonts w:cs="Arial" w:hAnsi="Arial" w:eastAsia="Arial" w:ascii="Arial"/>
              </w:rPr>
              <w:t xml:space="preserve"> </w:t>
            </w:r>
          </w:p>
        </w:tc>
        <w:tc>
          <w:tcPr>
            <w:tcW w:w="3028" w:type="dxa"/>
            <w:tcBorders>
              <w:top w:val="single" w:sz="4" w:color="000000"/>
              <w:left w:val="single" w:sz="4" w:color="000000"/>
              <w:bottom w:val="single" w:sz="4" w:color="000000"/>
              <w:right w:val="single" w:sz="4" w:color="000000"/>
            </w:tcBorders>
            <w:vAlign w:val="top"/>
          </w:tcPr>
          <w:p>
            <w:pPr>
              <w:spacing w:before="0" w:after="61" w:line="240" w:lineRule="auto"/>
              <w:ind w:left="108" w:right="0" w:firstLine="0"/>
              <w:jc w:val="left"/>
            </w:pPr>
            <w:r>
              <w:rPr>
                <w:rFonts w:cs="Arial" w:hAnsi="Arial" w:eastAsia="Arial" w:ascii="Arial"/>
              </w:rPr>
              <w:t xml:space="preserve">The institution has access to the relevant information regarding the AoR and expertise, as well as resources and experience developed from implemented subprojects.  </w:t>
            </w:r>
          </w:p>
          <w:p>
            <w:pPr>
              <w:spacing w:before="0" w:after="60" w:line="240" w:lineRule="auto"/>
              <w:ind w:left="108" w:right="37" w:firstLine="0"/>
              <w:jc w:val="left"/>
            </w:pPr>
            <w:r>
              <w:rPr>
                <w:rFonts w:cs="Arial" w:hAnsi="Arial" w:eastAsia="Arial" w:ascii="Arial"/>
              </w:rPr>
              <w:t xml:space="preserve">Everyday usage of toolkits necessary for the work as well as capacity development tools. The institution is a part of large network of RDA’s in country and outside the country and it is within the network of euro info centres in Europe. Center is a member of EURADA.  </w:t>
            </w:r>
          </w:p>
          <w:p>
            <w:pPr>
              <w:spacing w:before="0" w:after="61" w:line="240" w:lineRule="auto"/>
              <w:ind w:left="108" w:right="44" w:firstLine="0"/>
              <w:jc w:val="left"/>
            </w:pPr>
            <w:r>
              <w:rPr>
                <w:rFonts w:cs="Arial" w:hAnsi="Arial" w:eastAsia="Arial" w:ascii="Arial"/>
              </w:rPr>
              <w:t xml:space="preserve">The institution is in process of installation of the InDoc centre software and IT Administrator for data bases and project information.  </w:t>
            </w:r>
          </w:p>
          <w:p>
            <w:pPr>
              <w:spacing w:before="0" w:after="0" w:line="259" w:lineRule="auto"/>
              <w:ind w:left="108" w:right="0" w:firstLine="0"/>
              <w:jc w:val="left"/>
            </w:pPr>
            <w:r>
              <w:rPr>
                <w:rFonts w:cs="Arial" w:hAnsi="Arial" w:eastAsia="Arial" w:ascii="Arial"/>
              </w:rPr>
              <w:t xml:space="preserve">Effective approaches have been developed and improved continuously the staff on regular staff meetings and planning sessions to reach planned targets.  </w:t>
            </w:r>
          </w:p>
        </w:tc>
      </w:tr>
      <w:tr>
        <w:trPr>
          <w:trHeight w:val="3977" w:hRule="atLeast"/>
        </w:trPr>
        <w:tc>
          <w:tcPr>
            <w:tcW w:w="1950" w:type="dxa"/>
            <w:tcBorders>
              <w:top w:val="single" w:sz="4" w:color="000000"/>
              <w:left w:val="single" w:sz="4" w:color="000000"/>
              <w:bottom w:val="single" w:sz="4" w:color="000000"/>
              <w:right w:val="single" w:sz="4" w:color="000000"/>
            </w:tcBorders>
            <w:vAlign w:val="top"/>
          </w:tcPr>
          <w:p>
            <w:pPr>
              <w:spacing w:before="0" w:after="0" w:line="259" w:lineRule="auto"/>
              <w:ind w:left="108" w:right="0" w:firstLine="0"/>
              <w:jc w:val="left"/>
            </w:pPr>
            <w:r>
              <w:rPr>
                <w:rFonts w:cs="Arial" w:hAnsi="Arial" w:eastAsia="Arial" w:ascii="Arial"/>
              </w:rPr>
              <w:t xml:space="preserve">2.2.3 Human </w:t>
            </w:r>
          </w:p>
          <w:p>
            <w:pPr>
              <w:spacing w:before="0" w:after="0" w:line="259" w:lineRule="auto"/>
              <w:ind w:left="108" w:right="0" w:firstLine="0"/>
              <w:jc w:val="left"/>
            </w:pPr>
            <w:r>
              <w:rPr>
                <w:rFonts w:cs="Arial" w:hAnsi="Arial" w:eastAsia="Arial" w:ascii="Arial"/>
              </w:rPr>
              <w:t xml:space="preserve">Resources </w:t>
            </w:r>
          </w:p>
        </w:tc>
        <w:tc>
          <w:tcPr>
            <w:tcW w:w="2624" w:type="dxa"/>
            <w:tcBorders>
              <w:top w:val="single" w:sz="4" w:color="000000"/>
              <w:left w:val="single" w:sz="4" w:color="000000"/>
              <w:bottom w:val="single" w:sz="4" w:color="000000"/>
              <w:right w:val="single" w:sz="4" w:color="000000"/>
            </w:tcBorders>
            <w:vAlign w:val="top"/>
          </w:tcPr>
          <w:p>
            <w:pPr>
              <w:spacing w:before="0" w:after="59" w:line="240" w:lineRule="auto"/>
              <w:ind w:left="108" w:right="0" w:firstLine="0"/>
              <w:jc w:val="left"/>
            </w:pPr>
            <w:r>
              <w:rPr>
                <w:rFonts w:cs="Arial" w:hAnsi="Arial" w:eastAsia="Arial" w:ascii="Arial"/>
              </w:rPr>
              <w:t xml:space="preserve">Does the institution staff possess adequate expertise and experience? </w:t>
            </w:r>
          </w:p>
          <w:p>
            <w:pPr>
              <w:spacing w:before="0" w:after="1" w:line="239" w:lineRule="auto"/>
              <w:ind w:left="108" w:right="0" w:firstLine="0"/>
              <w:jc w:val="left"/>
            </w:pPr>
            <w:r>
              <w:rPr>
                <w:rFonts w:cs="Arial" w:hAnsi="Arial" w:eastAsia="Arial" w:ascii="Arial"/>
              </w:rPr>
              <w:t xml:space="preserve">Does the institution use local capacities </w:t>
            </w:r>
          </w:p>
          <w:p>
            <w:pPr>
              <w:spacing w:before="0" w:after="61" w:line="239" w:lineRule="auto"/>
              <w:ind w:left="108" w:right="0" w:firstLine="0"/>
              <w:jc w:val="left"/>
            </w:pPr>
            <w:r>
              <w:rPr>
                <w:rFonts w:cs="Arial" w:hAnsi="Arial" w:eastAsia="Arial" w:ascii="Arial"/>
              </w:rPr>
              <w:t xml:space="preserve">(financial/human/other resources)? </w:t>
            </w:r>
          </w:p>
          <w:p>
            <w:pPr>
              <w:spacing w:before="0" w:after="61" w:line="240" w:lineRule="auto"/>
              <w:ind w:left="108" w:right="45" w:firstLine="0"/>
              <w:jc w:val="left"/>
            </w:pPr>
            <w:r>
              <w:rPr>
                <w:rFonts w:cs="Arial" w:hAnsi="Arial" w:eastAsia="Arial" w:ascii="Arial"/>
              </w:rPr>
              <w:t xml:space="preserve">What is the institution capacity to coordinate between its main office and decentralized entities/branches (if relevant)?  </w:t>
            </w:r>
          </w:p>
          <w:p>
            <w:pPr>
              <w:spacing w:before="0" w:after="0" w:line="259" w:lineRule="auto"/>
              <w:ind w:left="108" w:right="0" w:firstLine="0"/>
              <w:jc w:val="left"/>
            </w:pPr>
            <w:r>
              <w:rPr>
                <w:rFonts w:cs="Arial" w:hAnsi="Arial" w:eastAsia="Arial" w:ascii="Arial"/>
              </w:rPr>
              <w:t xml:space="preserve">Have staff been trained on project management </w:t>
            </w:r>
          </w:p>
        </w:tc>
        <w:tc>
          <w:tcPr>
            <w:tcW w:w="2216" w:type="dxa"/>
            <w:gridSpan w:val="2"/>
            <w:tcBorders>
              <w:top w:val="single" w:sz="4" w:color="000000"/>
              <w:left w:val="single" w:sz="4" w:color="000000"/>
              <w:bottom w:val="single" w:sz="4" w:color="000000"/>
              <w:right w:val="single" w:sz="4" w:color="000000"/>
            </w:tcBorders>
            <w:vAlign w:val="top"/>
          </w:tcPr>
          <w:p>
            <w:pPr>
              <w:spacing w:before="0" w:after="40" w:line="259" w:lineRule="auto"/>
              <w:ind w:left="108" w:right="0" w:firstLine="0"/>
              <w:jc w:val="left"/>
            </w:pPr>
            <w:r>
              <w:rPr>
                <w:rFonts w:cs="Arial" w:hAnsi="Arial" w:eastAsia="Arial" w:ascii="Arial"/>
              </w:rPr>
              <w:t xml:space="preserve">Profile of staff, including expertise and professional experience Staff turnover </w:t>
            </w:r>
          </w:p>
          <w:p>
            <w:pPr>
              <w:spacing w:before="0" w:after="59" w:line="241" w:lineRule="auto"/>
              <w:ind w:left="108" w:right="0" w:firstLine="0"/>
              <w:jc w:val="left"/>
            </w:pPr>
            <w:r>
              <w:rPr>
                <w:rFonts w:cs="Arial" w:hAnsi="Arial" w:eastAsia="Arial" w:ascii="Arial"/>
              </w:rPr>
              <w:t xml:space="preserve">Chart of assignments of roles and functions </w:t>
            </w:r>
          </w:p>
          <w:p>
            <w:pPr>
              <w:spacing w:before="0" w:after="59" w:line="240" w:lineRule="auto"/>
              <w:ind w:left="108" w:right="0" w:firstLine="0"/>
              <w:jc w:val="left"/>
            </w:pPr>
            <w:r>
              <w:rPr>
                <w:rFonts w:cs="Arial" w:hAnsi="Arial" w:eastAsia="Arial" w:ascii="Arial"/>
              </w:rPr>
              <w:t xml:space="preserve">Reports on technical experience from national or international agencies for operations and capacity-building </w:t>
            </w:r>
          </w:p>
          <w:p>
            <w:pPr>
              <w:spacing w:before="0" w:after="0" w:line="259" w:lineRule="auto"/>
              <w:ind w:left="108" w:right="0" w:firstLine="0"/>
              <w:jc w:val="left"/>
            </w:pPr>
            <w:r>
              <w:rPr>
                <w:rFonts w:cs="Arial" w:hAnsi="Arial" w:eastAsia="Arial" w:ascii="Arial"/>
              </w:rPr>
              <w:t xml:space="preserve">Individual certification on project management such as PRINCE2 </w:t>
            </w:r>
          </w:p>
        </w:tc>
        <w:tc>
          <w:tcPr>
            <w:tcW w:w="3028" w:type="dxa"/>
            <w:tcBorders>
              <w:top w:val="single" w:sz="4" w:color="000000"/>
              <w:left w:val="single" w:sz="4" w:color="000000"/>
              <w:bottom w:val="single" w:sz="4" w:color="000000"/>
              <w:right w:val="single" w:sz="4" w:color="000000"/>
            </w:tcBorders>
            <w:vAlign w:val="top"/>
          </w:tcPr>
          <w:p>
            <w:pPr>
              <w:spacing w:before="0" w:after="0" w:line="259" w:lineRule="auto"/>
              <w:ind w:left="108" w:right="47" w:firstLine="0"/>
              <w:jc w:val="left"/>
            </w:pPr>
            <w:r>
              <w:rPr>
                <w:rFonts w:cs="Arial" w:hAnsi="Arial" w:eastAsia="Arial" w:ascii="Arial"/>
              </w:rPr>
              <w:t xml:space="preserve">Staff is the Centres main asset. They are well educated, committed, with in depth knowledge of their areas of expertise. They possess necessary knowledge and experience based on the education and long term work within the Agency and from previous job experience. They have network of people from municipalities and relevant national&amp; international institutions they work with and rely upon in different activities. The Agency has 9 staff members:  </w:t>
            </w:r>
          </w:p>
        </w:tc>
      </w:tr>
    </w:tbl>
    <w:p>
      <w:pPr>
        <w:spacing w:before="0" w:after="0" w:line="259" w:lineRule="auto"/>
        <w:ind w:left="-1440" w:right="10460" w:firstLine="0"/>
        <w:jc w:val="left"/>
      </w:pPr>
    </w:p>
    <w:tbl>
      <w:tblPr>
        <w:tblStyle w:val="TableGrid"/>
        <w:tblW w:w="9816" w:type="dxa"/>
        <w:tblInd w:w="-396" w:type="dxa"/>
        <w:tblCellMar>
          <w:top w:w="50" w:type="dxa"/>
          <w:left w:w="107" w:type="dxa"/>
          <w:bottom w:w="0" w:type="dxa"/>
          <w:right w:w="65" w:type="dxa"/>
        </w:tblCellMar>
      </w:tblPr>
      <w:tblGrid>
        <w:gridCol w:w="1949"/>
        <w:gridCol w:w="2624"/>
        <w:gridCol w:w="2216"/>
        <w:gridCol w:w="3026"/>
      </w:tblGrid>
      <w:tr>
        <w:trPr>
          <w:trHeight w:val="9520" w:hRule="atLeast"/>
        </w:trPr>
        <w:tc>
          <w:tcPr>
            <w:tcW w:w="1949"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624"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methodology? </w:t>
            </w:r>
          </w:p>
        </w:tc>
        <w:tc>
          <w:tcPr>
            <w:tcW w:w="2216"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026" w:type="dxa"/>
            <w:tcBorders>
              <w:top w:val="single" w:sz="4" w:color="000000"/>
              <w:left w:val="single" w:sz="4" w:color="000000"/>
              <w:bottom w:val="single" w:sz="4" w:color="000000"/>
              <w:right w:val="single" w:sz="4" w:color="000000"/>
            </w:tcBorders>
            <w:vAlign w:val="top"/>
          </w:tcPr>
          <w:p>
            <w:pPr>
              <w:numPr>
                <w:ilvl w:val="0"/>
                <w:numId w:val="12"/>
              </w:numPr>
              <w:spacing w:before="0" w:after="17" w:line="259" w:lineRule="auto"/>
              <w:ind w:left="440" w:right="0" w:hanging="360"/>
              <w:jc w:val="left"/>
            </w:pPr>
            <w:r>
              <w:rPr>
                <w:rFonts w:cs="Arial" w:hAnsi="Arial" w:eastAsia="Arial" w:ascii="Arial"/>
              </w:rPr>
              <w:t xml:space="preserve">Director  </w:t>
            </w:r>
          </w:p>
          <w:p>
            <w:pPr>
              <w:numPr>
                <w:ilvl w:val="0"/>
                <w:numId w:val="12"/>
              </w:numPr>
              <w:spacing w:before="0" w:after="63" w:line="247" w:lineRule="auto"/>
              <w:ind w:left="440" w:right="0" w:hanging="360"/>
              <w:jc w:val="left"/>
            </w:pPr>
            <w:r>
              <w:rPr>
                <w:rFonts w:cs="Arial" w:hAnsi="Arial" w:eastAsia="Arial" w:ascii="Arial"/>
              </w:rPr>
              <w:t xml:space="preserve">Project Manager for regional development  </w:t>
            </w:r>
          </w:p>
          <w:p>
            <w:pPr>
              <w:numPr>
                <w:ilvl w:val="0"/>
                <w:numId w:val="12"/>
              </w:numPr>
              <w:spacing w:before="0" w:after="69" w:line="242" w:lineRule="auto"/>
              <w:ind w:left="440" w:right="0" w:hanging="360"/>
              <w:jc w:val="left"/>
            </w:pPr>
            <w:r>
              <w:rPr>
                <w:rFonts w:cs="Arial" w:hAnsi="Arial" w:eastAsia="Arial" w:ascii="Arial"/>
              </w:rPr>
              <w:t xml:space="preserve">Financial Assistant  (plus long term financial advisor) </w:t>
            </w:r>
          </w:p>
          <w:p>
            <w:pPr>
              <w:numPr>
                <w:ilvl w:val="0"/>
                <w:numId w:val="12"/>
              </w:numPr>
              <w:spacing w:before="0" w:after="65" w:line="247" w:lineRule="auto"/>
              <w:ind w:left="440" w:right="0" w:hanging="360"/>
              <w:jc w:val="left"/>
            </w:pPr>
            <w:r>
              <w:rPr>
                <w:rFonts w:cs="Arial" w:hAnsi="Arial" w:eastAsia="Arial" w:ascii="Arial"/>
              </w:rPr>
              <w:t xml:space="preserve">PM for Infrastructural projects and spatial planning </w:t>
            </w:r>
          </w:p>
          <w:p>
            <w:pPr>
              <w:numPr>
                <w:ilvl w:val="0"/>
                <w:numId w:val="12"/>
              </w:numPr>
              <w:spacing w:before="0" w:after="15" w:line="259" w:lineRule="auto"/>
              <w:ind w:left="440" w:right="0" w:hanging="360"/>
              <w:jc w:val="left"/>
            </w:pPr>
            <w:r>
              <w:rPr>
                <w:rFonts w:cs="Arial" w:hAnsi="Arial" w:eastAsia="Arial" w:ascii="Arial"/>
              </w:rPr>
              <w:t xml:space="preserve">PM for Economy and SME </w:t>
            </w:r>
          </w:p>
          <w:p>
            <w:pPr>
              <w:numPr>
                <w:ilvl w:val="0"/>
                <w:numId w:val="12"/>
              </w:numPr>
              <w:spacing w:before="0" w:after="16" w:line="259" w:lineRule="auto"/>
              <w:ind w:left="440" w:right="0" w:hanging="360"/>
              <w:jc w:val="left"/>
            </w:pPr>
            <w:r>
              <w:rPr>
                <w:rFonts w:cs="Arial" w:hAnsi="Arial" w:eastAsia="Arial" w:ascii="Arial"/>
              </w:rPr>
              <w:t xml:space="preserve">PM for Rural Development </w:t>
            </w:r>
          </w:p>
          <w:p>
            <w:pPr>
              <w:numPr>
                <w:ilvl w:val="0"/>
                <w:numId w:val="12"/>
              </w:numPr>
              <w:spacing w:before="0" w:after="69" w:line="241" w:lineRule="auto"/>
              <w:ind w:left="440" w:right="0" w:hanging="360"/>
              <w:jc w:val="left"/>
            </w:pPr>
            <w:r>
              <w:rPr>
                <w:rFonts w:cs="Arial" w:hAnsi="Arial" w:eastAsia="Arial" w:ascii="Arial"/>
              </w:rPr>
              <w:t xml:space="preserve">PM for  Employment and Social Development   (outsourced, long term expert) </w:t>
            </w:r>
          </w:p>
          <w:p>
            <w:pPr>
              <w:numPr>
                <w:ilvl w:val="0"/>
                <w:numId w:val="12"/>
              </w:numPr>
              <w:spacing w:before="0" w:after="65" w:line="247" w:lineRule="auto"/>
              <w:ind w:left="440" w:right="0" w:hanging="360"/>
              <w:jc w:val="left"/>
            </w:pPr>
            <w:r>
              <w:rPr>
                <w:rFonts w:cs="Arial" w:hAnsi="Arial" w:eastAsia="Arial" w:ascii="Arial"/>
              </w:rPr>
              <w:t xml:space="preserve">PM for Environment protection, renewable energy </w:t>
            </w:r>
          </w:p>
          <w:p>
            <w:pPr>
              <w:numPr>
                <w:ilvl w:val="0"/>
                <w:numId w:val="12"/>
              </w:numPr>
              <w:spacing w:before="0" w:after="70" w:line="242" w:lineRule="auto"/>
              <w:ind w:left="440" w:right="0" w:hanging="360"/>
              <w:jc w:val="left"/>
            </w:pPr>
            <w:r>
              <w:rPr>
                <w:rFonts w:cs="Arial" w:hAnsi="Arial" w:eastAsia="Arial" w:ascii="Arial"/>
              </w:rPr>
              <w:t xml:space="preserve">PM for Tourism development (outsourced, based on cooperation with one of the founders) </w:t>
            </w:r>
          </w:p>
          <w:p>
            <w:pPr>
              <w:numPr>
                <w:ilvl w:val="0"/>
                <w:numId w:val="12"/>
              </w:numPr>
              <w:spacing w:before="0" w:after="68" w:line="243" w:lineRule="auto"/>
              <w:ind w:left="440" w:right="0" w:hanging="360"/>
              <w:jc w:val="left"/>
            </w:pPr>
            <w:r>
              <w:rPr>
                <w:rFonts w:cs="Arial" w:hAnsi="Arial" w:eastAsia="Arial" w:ascii="Arial"/>
              </w:rPr>
              <w:t xml:space="preserve">Legal advisor (in house, plus outsourced expert for supervision </w:t>
            </w:r>
          </w:p>
          <w:p>
            <w:pPr>
              <w:numPr>
                <w:ilvl w:val="0"/>
                <w:numId w:val="12"/>
              </w:numPr>
              <w:spacing w:before="0" w:after="16" w:line="259" w:lineRule="auto"/>
              <w:ind w:left="440" w:right="0" w:hanging="360"/>
              <w:jc w:val="left"/>
            </w:pPr>
            <w:r>
              <w:rPr>
                <w:rFonts w:cs="Arial" w:hAnsi="Arial" w:eastAsia="Arial" w:ascii="Arial"/>
              </w:rPr>
              <w:t xml:space="preserve">Technical Assistant /Driver </w:t>
            </w:r>
          </w:p>
          <w:p>
            <w:pPr>
              <w:numPr>
                <w:ilvl w:val="0"/>
                <w:numId w:val="12"/>
              </w:numPr>
              <w:spacing w:before="0" w:after="65" w:line="259" w:lineRule="auto"/>
              <w:ind w:left="440" w:right="0" w:hanging="360"/>
              <w:jc w:val="left"/>
            </w:pPr>
            <w:r>
              <w:rPr>
                <w:rFonts w:cs="Arial" w:hAnsi="Arial" w:eastAsia="Arial" w:ascii="Arial"/>
              </w:rPr>
              <w:t xml:space="preserve">Office&amp; Event Manager  </w:t>
            </w:r>
          </w:p>
          <w:p>
            <w:pPr>
              <w:spacing w:before="0" w:after="1" w:line="240" w:lineRule="auto"/>
              <w:ind w:left="1" w:right="0" w:firstLine="0"/>
              <w:jc w:val="left"/>
            </w:pPr>
            <w:r>
              <w:rPr>
                <w:rFonts w:cs="Arial" w:hAnsi="Arial" w:eastAsia="Arial" w:ascii="Arial"/>
              </w:rPr>
              <w:t xml:space="preserve">All staff had an advanced PCM training, and continuous trainings through project design and implementation by several stakeholders (RSEDP2 TA programme, Operating Grant by EC, ADA etc) Training needs </w:t>
            </w:r>
          </w:p>
          <w:p>
            <w:pPr>
              <w:spacing w:before="0" w:after="0" w:line="259" w:lineRule="auto"/>
              <w:ind w:left="1" w:right="0" w:firstLine="0"/>
              <w:jc w:val="left"/>
            </w:pPr>
            <w:r>
              <w:rPr>
                <w:rFonts w:cs="Arial" w:hAnsi="Arial" w:eastAsia="Arial" w:ascii="Arial"/>
              </w:rPr>
              <w:t xml:space="preserve">assessment is developed, and institution is acting accordingly.  All staff are highly experienced, certified and continuously trained for relevant areas of expertise. </w:t>
            </w:r>
          </w:p>
        </w:tc>
      </w:tr>
      <w:tr>
        <w:trPr>
          <w:trHeight w:val="574" w:hRule="atLeast"/>
        </w:trPr>
        <w:tc>
          <w:tcPr>
            <w:tcW w:w="9816" w:type="dxa"/>
            <w:gridSpan w:val="4"/>
            <w:tcBorders>
              <w:top w:val="single" w:sz="4" w:color="000000"/>
              <w:left w:val="single" w:sz="4" w:color="000000"/>
              <w:bottom w:val="single" w:sz="4" w:color="000000"/>
              <w:right w:val="single" w:sz="4" w:color="000000"/>
            </w:tcBorders>
            <w:shd w:val="clear" w:fill="ffff00"/>
            <w:vAlign w:val="top"/>
          </w:tcPr>
          <w:p>
            <w:pPr>
              <w:spacing w:before="0" w:after="0" w:line="259" w:lineRule="auto"/>
              <w:ind w:left="0" w:right="0" w:firstLine="0"/>
              <w:jc w:val="left"/>
            </w:pPr>
            <w:r>
              <w:rPr>
                <w:rFonts w:cs="Arial" w:hAnsi="Arial" w:eastAsia="Arial" w:ascii="Arial"/>
                <w:b w:val="1"/>
              </w:rPr>
              <w:t xml:space="preserve">PART III. ASSESSING NATIONAL INSTITUTION CAPACITY FOR ADMINISTRATIVE AND FINANCIAL MANAGEMENT </w:t>
            </w:r>
          </w:p>
        </w:tc>
      </w:tr>
      <w:tr>
        <w:trPr>
          <w:trHeight w:val="574" w:hRule="atLeast"/>
        </w:trPr>
        <w:tc>
          <w:tcPr>
            <w:tcW w:w="9816" w:type="dxa"/>
            <w:gridSpan w:val="4"/>
            <w:tcBorders>
              <w:top w:val="single" w:sz="4" w:color="000000"/>
              <w:left w:val="single" w:sz="4" w:color="000000"/>
              <w:bottom w:val="single" w:sz="4" w:color="000000"/>
              <w:right w:val="single" w:sz="4" w:color="000000"/>
            </w:tcBorders>
            <w:shd w:val="clear" w:fill="ffff9a"/>
            <w:vAlign w:val="top"/>
          </w:tcPr>
          <w:p>
            <w:pPr>
              <w:spacing w:before="0" w:after="0" w:line="259" w:lineRule="auto"/>
              <w:ind w:left="0" w:right="0" w:firstLine="0"/>
              <w:jc w:val="left"/>
            </w:pPr>
            <w:r>
              <w:rPr>
                <w:rFonts w:cs="Arial" w:hAnsi="Arial" w:eastAsia="Arial" w:ascii="Arial"/>
                <w:b w:val="1"/>
              </w:rPr>
              <w:t xml:space="preserve">3.1 Administrative capacity </w:t>
            </w:r>
          </w:p>
          <w:p>
            <w:pPr>
              <w:spacing w:before="0" w:after="0" w:line="259" w:lineRule="auto"/>
              <w:ind w:left="0" w:right="0" w:firstLine="0"/>
              <w:jc w:val="left"/>
            </w:pPr>
            <w:r>
              <w:rPr>
                <w:rFonts w:cs="Arial" w:hAnsi="Arial" w:eastAsia="Arial" w:ascii="Arial"/>
                <w:i w:val="1"/>
              </w:rPr>
              <w:t xml:space="preserve">Ability to provide adequate logistical support and infrastructure</w:t>
            </w:r>
            <w:r>
              <w:rPr>
                <w:rFonts w:cs="Arial" w:hAnsi="Arial" w:eastAsia="Arial" w:ascii="Arial"/>
              </w:rPr>
              <w:t xml:space="preserve"> </w:t>
            </w:r>
          </w:p>
        </w:tc>
      </w:tr>
      <w:tr>
        <w:trPr>
          <w:trHeight w:val="3977" w:hRule="atLeast"/>
        </w:trPr>
        <w:tc>
          <w:tcPr>
            <w:tcW w:w="1949" w:type="dxa"/>
            <w:tcBorders>
              <w:top w:val="single" w:sz="4" w:color="000000"/>
              <w:left w:val="single" w:sz="4" w:color="000000"/>
              <w:bottom w:val="single" w:sz="4" w:color="000000"/>
              <w:right w:val="single" w:sz="4" w:color="000000"/>
            </w:tcBorders>
            <w:vAlign w:val="top"/>
          </w:tcPr>
          <w:p>
            <w:pPr>
              <w:spacing w:before="0" w:after="0" w:line="259" w:lineRule="auto"/>
              <w:ind w:left="0" w:right="45" w:firstLine="0"/>
              <w:jc w:val="left"/>
            </w:pPr>
            <w:r>
              <w:rPr>
                <w:rFonts w:cs="Arial" w:hAnsi="Arial" w:eastAsia="Arial" w:ascii="Arial"/>
              </w:rPr>
              <w:t xml:space="preserve">3.1.1 Ability to manage and maintain infrastructure and equipment </w:t>
            </w:r>
          </w:p>
        </w:tc>
        <w:tc>
          <w:tcPr>
            <w:tcW w:w="2624" w:type="dxa"/>
            <w:tcBorders>
              <w:top w:val="single" w:sz="4" w:color="000000"/>
              <w:left w:val="single" w:sz="4" w:color="000000"/>
              <w:bottom w:val="single" w:sz="4" w:color="000000"/>
              <w:right w:val="single" w:sz="4" w:color="000000"/>
            </w:tcBorders>
            <w:vAlign w:val="top"/>
          </w:tcPr>
          <w:p>
            <w:pPr>
              <w:spacing w:before="0" w:after="59" w:line="240" w:lineRule="auto"/>
              <w:ind w:left="1" w:right="0" w:firstLine="0"/>
              <w:jc w:val="left"/>
            </w:pPr>
            <w:r>
              <w:rPr>
                <w:rFonts w:cs="Arial" w:hAnsi="Arial" w:eastAsia="Arial" w:ascii="Arial"/>
              </w:rPr>
              <w:t xml:space="preserve">Does the institution possess logistical infrastructure and equipment? </w:t>
            </w:r>
          </w:p>
          <w:p>
            <w:pPr>
              <w:spacing w:before="0" w:after="61" w:line="239" w:lineRule="auto"/>
              <w:ind w:left="1" w:right="0" w:firstLine="0"/>
              <w:jc w:val="left"/>
            </w:pPr>
            <w:r>
              <w:rPr>
                <w:rFonts w:cs="Arial" w:hAnsi="Arial" w:eastAsia="Arial" w:ascii="Arial"/>
              </w:rPr>
              <w:t xml:space="preserve">Can the institution manage and maintain equipment? </w:t>
            </w:r>
          </w:p>
          <w:p>
            <w:pPr>
              <w:spacing w:before="0" w:after="0" w:line="259" w:lineRule="auto"/>
              <w:ind w:left="1" w:right="0" w:firstLine="0"/>
              <w:jc w:val="left"/>
            </w:pPr>
            <w:r>
              <w:rPr>
                <w:rFonts w:cs="Arial" w:hAnsi="Arial" w:eastAsia="Arial" w:ascii="Arial"/>
              </w:rPr>
              <w:t xml:space="preserve"> </w:t>
            </w:r>
          </w:p>
        </w:tc>
        <w:tc>
          <w:tcPr>
            <w:tcW w:w="2216" w:type="dxa"/>
            <w:tcBorders>
              <w:top w:val="single" w:sz="4" w:color="000000"/>
              <w:left w:val="single" w:sz="4" w:color="000000"/>
              <w:bottom w:val="single" w:sz="4" w:color="000000"/>
              <w:right w:val="single" w:sz="4" w:color="000000"/>
            </w:tcBorders>
            <w:vAlign w:val="top"/>
          </w:tcPr>
          <w:p>
            <w:pPr>
              <w:spacing w:before="0" w:after="60" w:line="240" w:lineRule="auto"/>
              <w:ind w:left="1" w:right="0" w:firstLine="0"/>
              <w:jc w:val="left"/>
            </w:pPr>
            <w:r>
              <w:rPr>
                <w:rFonts w:cs="Arial" w:hAnsi="Arial" w:eastAsia="Arial" w:ascii="Arial"/>
              </w:rPr>
              <w:t xml:space="preserve">Adequate logistical infrastructure: office facilities and space, basic equipment, utilities </w:t>
            </w:r>
          </w:p>
          <w:p>
            <w:pPr>
              <w:spacing w:before="0" w:after="59" w:line="241" w:lineRule="auto"/>
              <w:ind w:left="1" w:right="0" w:firstLine="0"/>
              <w:jc w:val="left"/>
            </w:pPr>
            <w:r>
              <w:rPr>
                <w:rFonts w:cs="Arial" w:hAnsi="Arial" w:eastAsia="Arial" w:ascii="Arial"/>
              </w:rPr>
              <w:t xml:space="preserve">Computer capability and library materials </w:t>
            </w:r>
          </w:p>
          <w:p>
            <w:pPr>
              <w:spacing w:before="0" w:after="0" w:line="259" w:lineRule="auto"/>
              <w:ind w:left="1" w:right="0" w:firstLine="0"/>
              <w:jc w:val="left"/>
            </w:pPr>
            <w:r>
              <w:rPr>
                <w:rFonts w:cs="Arial" w:hAnsi="Arial" w:eastAsia="Arial" w:ascii="Arial"/>
              </w:rPr>
              <w:t xml:space="preserve">Proper equipment for area of specialization inventory to track property and cost </w:t>
            </w:r>
          </w:p>
        </w:tc>
        <w:tc>
          <w:tcPr>
            <w:tcW w:w="3026" w:type="dxa"/>
            <w:tcBorders>
              <w:top w:val="single" w:sz="4" w:color="000000"/>
              <w:left w:val="single" w:sz="4" w:color="000000"/>
              <w:bottom w:val="single" w:sz="4" w:color="000000"/>
              <w:right w:val="single" w:sz="4" w:color="000000"/>
            </w:tcBorders>
            <w:vAlign w:val="top"/>
          </w:tcPr>
          <w:p>
            <w:pPr>
              <w:spacing w:before="0" w:after="61" w:line="240" w:lineRule="auto"/>
              <w:ind w:left="1" w:right="8" w:firstLine="0"/>
              <w:jc w:val="left"/>
            </w:pPr>
            <w:r>
              <w:rPr>
                <w:rFonts w:cs="Arial" w:hAnsi="Arial" w:eastAsia="Arial" w:ascii="Arial"/>
              </w:rPr>
              <w:t xml:space="preserve">The Agency has all necessary equipment such as: computers, networks, printers, software, premises 90m2, conference room, cars, beamers, and other. It is continuously upgraded according to the project implementation and staff needs. </w:t>
            </w:r>
          </w:p>
          <w:p>
            <w:pPr>
              <w:spacing w:before="0" w:after="60" w:line="240" w:lineRule="auto"/>
              <w:ind w:left="1" w:right="0" w:firstLine="0"/>
              <w:jc w:val="left"/>
            </w:pPr>
            <w:r>
              <w:rPr>
                <w:rFonts w:cs="Arial" w:hAnsi="Arial" w:eastAsia="Arial" w:ascii="Arial"/>
              </w:rPr>
              <w:t xml:space="preserve">Computer capability is excellent. Library materials are available and updated regularly for different areas of work. </w:t>
            </w:r>
          </w:p>
          <w:p>
            <w:pPr>
              <w:spacing w:before="0" w:after="0" w:line="259" w:lineRule="auto"/>
              <w:ind w:left="1" w:right="0" w:firstLine="0"/>
              <w:jc w:val="left"/>
            </w:pPr>
            <w:r>
              <w:rPr>
                <w:rFonts w:cs="Arial" w:hAnsi="Arial" w:eastAsia="Arial" w:ascii="Arial"/>
              </w:rPr>
              <w:t xml:space="preserve">Inventory to track property is under the responsibility of finance department.  </w:t>
            </w:r>
          </w:p>
        </w:tc>
      </w:tr>
      <w:tr>
        <w:trPr>
          <w:trHeight w:val="323" w:hRule="atLeast"/>
        </w:trPr>
        <w:tc>
          <w:tcPr>
            <w:tcW w:w="1949"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Arial" w:hAnsi="Arial" w:eastAsia="Arial" w:ascii="Arial"/>
              </w:rPr>
              <w:t xml:space="preserve">3.1.2 Ability to </w:t>
            </w:r>
          </w:p>
        </w:tc>
        <w:tc>
          <w:tcPr>
            <w:tcW w:w="2624"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Does the institution have the </w:t>
            </w:r>
          </w:p>
        </w:tc>
        <w:tc>
          <w:tcPr>
            <w:tcW w:w="2216"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Standard contracts </w:t>
            </w:r>
          </w:p>
        </w:tc>
        <w:tc>
          <w:tcPr>
            <w:tcW w:w="3026"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rPr>
              <w:t xml:space="preserve">Yes, until now all procurement was </w:t>
            </w:r>
          </w:p>
        </w:tc>
      </w:tr>
    </w:tbl>
    <w:p>
      <w:pPr>
        <w:spacing w:before="0" w:after="0" w:line="259" w:lineRule="auto"/>
        <w:ind w:left="-1440" w:right="10460" w:firstLine="0"/>
        <w:jc w:val="left"/>
      </w:pPr>
    </w:p>
    <w:tbl>
      <w:tblPr>
        <w:tblStyle w:val="TableGrid"/>
        <w:tblW w:w="9816" w:type="dxa"/>
        <w:tblInd w:w="-396" w:type="dxa"/>
        <w:tblCellMar>
          <w:top w:w="49" w:type="dxa"/>
          <w:left w:w="107" w:type="dxa"/>
          <w:bottom w:w="0" w:type="dxa"/>
          <w:right w:w="58" w:type="dxa"/>
        </w:tblCellMar>
      </w:tblPr>
      <w:tblGrid>
        <w:gridCol w:w="1949"/>
        <w:gridCol w:w="2624"/>
        <w:gridCol w:w="2216"/>
        <w:gridCol w:w="3026"/>
      </w:tblGrid>
      <w:tr>
        <w:trPr>
          <w:trHeight w:val="4230" w:hRule="atLeast"/>
        </w:trPr>
        <w:tc>
          <w:tcPr>
            <w:tcW w:w="1949" w:type="dxa"/>
            <w:tcBorders>
              <w:top w:val="single" w:sz="4" w:color="000000"/>
              <w:left w:val="single" w:sz="4" w:color="000000"/>
              <w:bottom w:val="single" w:sz="4" w:color="000000"/>
              <w:right w:val="single" w:sz="4" w:color="000000"/>
            </w:tcBorders>
            <w:vAlign w:val="top"/>
          </w:tcPr>
          <w:p>
            <w:pPr>
              <w:spacing w:before="0" w:after="0" w:line="259" w:lineRule="auto"/>
              <w:ind w:left="0" w:right="2" w:firstLine="0"/>
              <w:jc w:val="left"/>
            </w:pPr>
            <w:r>
              <w:rPr>
                <w:rFonts w:cs="Arial" w:hAnsi="Arial" w:eastAsia="Arial" w:ascii="Arial"/>
              </w:rPr>
              <w:t xml:space="preserve">procure goods services and works on a transparent and competitive basis. </w:t>
            </w:r>
          </w:p>
        </w:tc>
        <w:tc>
          <w:tcPr>
            <w:tcW w:w="2624" w:type="dxa"/>
            <w:tcBorders>
              <w:top w:val="single" w:sz="4" w:color="000000"/>
              <w:left w:val="single" w:sz="4" w:color="000000"/>
              <w:bottom w:val="single" w:sz="4" w:color="000000"/>
              <w:right w:val="single" w:sz="4" w:color="000000"/>
            </w:tcBorders>
            <w:vAlign w:val="top"/>
          </w:tcPr>
          <w:p>
            <w:pPr>
              <w:spacing w:before="0" w:after="60" w:line="240" w:lineRule="auto"/>
              <w:ind w:left="1" w:right="0" w:firstLine="0"/>
              <w:jc w:val="left"/>
            </w:pPr>
            <w:r>
              <w:rPr>
                <w:rFonts w:cs="Arial" w:hAnsi="Arial" w:eastAsia="Arial" w:ascii="Arial"/>
              </w:rPr>
              <w:t xml:space="preserve">ability to procure goods, services and works on a transparent and competitive basis? </w:t>
            </w:r>
          </w:p>
          <w:p>
            <w:pPr>
              <w:spacing w:before="0" w:after="61" w:line="240" w:lineRule="auto"/>
              <w:ind w:left="1" w:right="0" w:firstLine="0"/>
              <w:jc w:val="left"/>
            </w:pPr>
            <w:r>
              <w:rPr>
                <w:rFonts w:cs="Arial" w:hAnsi="Arial" w:eastAsia="Arial" w:ascii="Arial"/>
              </w:rPr>
              <w:t xml:space="preserve">Does the institution have standard contracts or access to legal counsel to ensure that contracts meet performance standards, protect UNDP and the institution’s interests and are enforceable? </w:t>
            </w:r>
          </w:p>
          <w:p>
            <w:pPr>
              <w:spacing w:before="0" w:after="0" w:line="259" w:lineRule="auto"/>
              <w:ind w:left="1" w:right="0" w:firstLine="0"/>
              <w:jc w:val="left"/>
            </w:pPr>
            <w:r>
              <w:rPr>
                <w:rFonts w:cs="Arial" w:hAnsi="Arial" w:eastAsia="Arial" w:ascii="Arial"/>
              </w:rPr>
              <w:t xml:space="preserve">Does the institution have the </w:t>
            </w:r>
          </w:p>
          <w:p>
            <w:pPr>
              <w:spacing w:before="0" w:after="0" w:line="259" w:lineRule="auto"/>
              <w:ind w:left="1" w:right="0" w:firstLine="0"/>
              <w:jc w:val="left"/>
            </w:pPr>
            <w:r>
              <w:rPr>
                <w:rFonts w:cs="Arial" w:hAnsi="Arial" w:eastAsia="Arial" w:ascii="Arial"/>
              </w:rPr>
              <w:t xml:space="preserve">authority to enter into contracts? </w:t>
            </w:r>
          </w:p>
        </w:tc>
        <w:tc>
          <w:tcPr>
            <w:tcW w:w="2216" w:type="dxa"/>
            <w:tcBorders>
              <w:top w:val="single" w:sz="4" w:color="000000"/>
              <w:left w:val="single" w:sz="4" w:color="000000"/>
              <w:bottom w:val="single" w:sz="4" w:color="000000"/>
              <w:right w:val="single" w:sz="4" w:color="000000"/>
            </w:tcBorders>
            <w:vAlign w:val="top"/>
          </w:tcPr>
          <w:p>
            <w:pPr>
              <w:spacing w:before="0" w:after="61" w:line="239" w:lineRule="auto"/>
              <w:ind w:left="1" w:right="0" w:firstLine="0"/>
              <w:jc w:val="left"/>
            </w:pPr>
            <w:r>
              <w:rPr>
                <w:rFonts w:cs="Arial" w:hAnsi="Arial" w:eastAsia="Arial" w:ascii="Arial"/>
              </w:rPr>
              <w:t xml:space="preserve">Examples of how procurement is done </w:t>
            </w:r>
          </w:p>
          <w:p>
            <w:pPr>
              <w:spacing w:before="0" w:after="61" w:line="240" w:lineRule="auto"/>
              <w:ind w:left="1" w:right="17" w:firstLine="0"/>
              <w:jc w:val="left"/>
            </w:pPr>
            <w:r>
              <w:rPr>
                <w:rFonts w:cs="Arial" w:hAnsi="Arial" w:eastAsia="Arial" w:ascii="Arial"/>
              </w:rPr>
              <w:t xml:space="preserve">Written procedures for identifying the appropriate vendor, obtaining the best price, and issuing commitments </w:t>
            </w:r>
          </w:p>
          <w:p>
            <w:pPr>
              <w:spacing w:before="0" w:after="0" w:line="259" w:lineRule="auto"/>
              <w:ind w:left="1" w:right="0" w:firstLine="0"/>
              <w:jc w:val="left"/>
            </w:pPr>
            <w:r>
              <w:rPr>
                <w:rFonts w:cs="Arial" w:hAnsi="Arial" w:eastAsia="Arial" w:ascii="Arial"/>
              </w:rPr>
              <w:t xml:space="preserve"> </w:t>
            </w:r>
          </w:p>
        </w:tc>
        <w:tc>
          <w:tcPr>
            <w:tcW w:w="3026" w:type="dxa"/>
            <w:tcBorders>
              <w:top w:val="single" w:sz="4" w:color="000000"/>
              <w:left w:val="single" w:sz="4" w:color="000000"/>
              <w:bottom w:val="single" w:sz="4" w:color="000000"/>
              <w:right w:val="single" w:sz="4" w:color="000000"/>
            </w:tcBorders>
            <w:vAlign w:val="top"/>
          </w:tcPr>
          <w:p>
            <w:pPr>
              <w:spacing w:before="0" w:after="60" w:line="240" w:lineRule="auto"/>
              <w:ind w:left="1" w:right="0" w:firstLine="0"/>
              <w:jc w:val="left"/>
            </w:pPr>
            <w:r>
              <w:rPr>
                <w:rFonts w:cs="Arial" w:hAnsi="Arial" w:eastAsia="Arial" w:ascii="Arial"/>
              </w:rPr>
              <w:t xml:space="preserve">transparent and we have followed the Law on the procurement of goods and services of the Republic of Serbia, as well as UNDP rules, EC rules, and ADA rules and procedures.  </w:t>
            </w:r>
          </w:p>
          <w:p>
            <w:pPr>
              <w:spacing w:before="0" w:after="61" w:line="240" w:lineRule="auto"/>
              <w:ind w:left="1" w:right="44" w:firstLine="0"/>
              <w:jc w:val="left"/>
            </w:pPr>
            <w:r>
              <w:rPr>
                <w:rFonts w:cs="Arial" w:hAnsi="Arial" w:eastAsia="Arial" w:ascii="Arial"/>
              </w:rPr>
              <w:t xml:space="preserve">All standard contracts are covered by the legal advisor of the Center, checked by outsourced long term legal advisor on regular bases. The procurement is followed by all necessary tender documentations and procedures.   </w:t>
            </w:r>
          </w:p>
          <w:p>
            <w:pPr>
              <w:spacing w:before="0" w:after="0" w:line="259" w:lineRule="auto"/>
              <w:ind w:left="1" w:right="0" w:firstLine="0"/>
              <w:jc w:val="left"/>
            </w:pPr>
            <w:r>
              <w:rPr>
                <w:rFonts w:cs="Arial" w:hAnsi="Arial" w:eastAsia="Arial" w:ascii="Arial"/>
              </w:rPr>
              <w:t xml:space="preserve">The institution has its legal advisor who has the authority to enter into contracts and follow them up.  </w:t>
            </w:r>
          </w:p>
        </w:tc>
      </w:tr>
      <w:tr>
        <w:trPr>
          <w:trHeight w:val="4230" w:hRule="atLeast"/>
        </w:trPr>
        <w:tc>
          <w:tcPr>
            <w:tcW w:w="1949"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Arial" w:hAnsi="Arial" w:eastAsia="Arial" w:ascii="Arial"/>
              </w:rPr>
              <w:t xml:space="preserve">3.1.3 Ability to recruit </w:t>
            </w:r>
          </w:p>
          <w:p>
            <w:pPr>
              <w:spacing w:before="0" w:after="0" w:line="259" w:lineRule="auto"/>
              <w:ind w:left="0" w:right="0" w:firstLine="0"/>
              <w:jc w:val="left"/>
            </w:pPr>
            <w:r>
              <w:rPr>
                <w:rFonts w:cs="Arial" w:hAnsi="Arial" w:eastAsia="Arial" w:ascii="Arial"/>
              </w:rPr>
              <w:t xml:space="preserve">and manage the best-qualified personnel on a transparent and competitive basis. </w:t>
            </w:r>
          </w:p>
        </w:tc>
        <w:tc>
          <w:tcPr>
            <w:tcW w:w="2624" w:type="dxa"/>
            <w:tcBorders>
              <w:top w:val="single" w:sz="4" w:color="000000"/>
              <w:left w:val="single" w:sz="4" w:color="000000"/>
              <w:bottom w:val="single" w:sz="4" w:color="000000"/>
              <w:right w:val="single" w:sz="4" w:color="000000"/>
            </w:tcBorders>
            <w:vAlign w:val="top"/>
          </w:tcPr>
          <w:p>
            <w:pPr>
              <w:spacing w:before="0" w:after="59" w:line="240" w:lineRule="auto"/>
              <w:ind w:left="1" w:right="0" w:firstLine="0"/>
              <w:jc w:val="left"/>
            </w:pPr>
            <w:r>
              <w:rPr>
                <w:rFonts w:cs="Arial" w:hAnsi="Arial" w:eastAsia="Arial" w:ascii="Arial"/>
              </w:rPr>
              <w:t xml:space="preserve">Is the institution able to staff the project and enter into contract with personnel? </w:t>
            </w:r>
          </w:p>
          <w:p>
            <w:pPr>
              <w:spacing w:before="0" w:after="0" w:line="259" w:lineRule="auto"/>
              <w:ind w:left="1" w:right="4" w:firstLine="0"/>
              <w:jc w:val="left"/>
            </w:pPr>
            <w:r>
              <w:rPr>
                <w:rFonts w:cs="Arial" w:hAnsi="Arial" w:eastAsia="Arial" w:ascii="Arial"/>
              </w:rPr>
              <w:t xml:space="preserve">Does the institution use written job descriptions for consultants or experts? </w:t>
            </w:r>
          </w:p>
        </w:tc>
        <w:tc>
          <w:tcPr>
            <w:tcW w:w="2216" w:type="dxa"/>
            <w:tcBorders>
              <w:top w:val="single" w:sz="4" w:color="000000"/>
              <w:left w:val="single" w:sz="4" w:color="000000"/>
              <w:bottom w:val="single" w:sz="4" w:color="000000"/>
              <w:right w:val="single" w:sz="4" w:color="000000"/>
            </w:tcBorders>
            <w:vAlign w:val="top"/>
          </w:tcPr>
          <w:p>
            <w:pPr>
              <w:spacing w:before="0" w:after="39" w:line="259" w:lineRule="auto"/>
              <w:ind w:left="1" w:right="0" w:firstLine="0"/>
              <w:jc w:val="left"/>
            </w:pPr>
            <w:r>
              <w:rPr>
                <w:rFonts w:cs="Arial" w:hAnsi="Arial" w:eastAsia="Arial" w:ascii="Arial"/>
              </w:rPr>
              <w:t xml:space="preserve">Standard contracts </w:t>
            </w:r>
          </w:p>
          <w:p>
            <w:pPr>
              <w:spacing w:before="0" w:after="0" w:line="259" w:lineRule="auto"/>
              <w:ind w:left="1" w:right="0" w:firstLine="0"/>
              <w:jc w:val="left"/>
            </w:pPr>
            <w:r>
              <w:rPr>
                <w:rFonts w:cs="Arial" w:hAnsi="Arial" w:eastAsia="Arial" w:ascii="Arial"/>
              </w:rPr>
              <w:t xml:space="preserve">Job descriptions </w:t>
            </w:r>
          </w:p>
        </w:tc>
        <w:tc>
          <w:tcPr>
            <w:tcW w:w="3026" w:type="dxa"/>
            <w:tcBorders>
              <w:top w:val="single" w:sz="4" w:color="000000"/>
              <w:left w:val="single" w:sz="4" w:color="000000"/>
              <w:bottom w:val="single" w:sz="4" w:color="000000"/>
              <w:right w:val="single" w:sz="4" w:color="000000"/>
            </w:tcBorders>
            <w:vAlign w:val="top"/>
          </w:tcPr>
          <w:p>
            <w:pPr>
              <w:spacing w:before="0" w:after="1" w:line="239" w:lineRule="auto"/>
              <w:ind w:left="1" w:right="34" w:firstLine="0"/>
              <w:jc w:val="left"/>
            </w:pPr>
            <w:r>
              <w:rPr>
                <w:rFonts w:cs="Arial" w:hAnsi="Arial" w:eastAsia="Arial" w:ascii="Arial"/>
              </w:rPr>
              <w:t xml:space="preserve">The Agency is following the Law on labour of the Republic of </w:t>
            </w:r>
          </w:p>
          <w:p>
            <w:pPr>
              <w:spacing w:before="0" w:after="1" w:line="239" w:lineRule="auto"/>
              <w:ind w:left="1" w:right="0" w:firstLine="0"/>
              <w:jc w:val="left"/>
            </w:pPr>
            <w:r>
              <w:rPr>
                <w:rFonts w:cs="Arial" w:hAnsi="Arial" w:eastAsia="Arial" w:ascii="Arial"/>
              </w:rPr>
              <w:t xml:space="preserve">Serbia. Also Institution respects all procedures that a donor require ( </w:t>
            </w:r>
          </w:p>
          <w:p>
            <w:pPr>
              <w:spacing w:before="0" w:after="60" w:line="240" w:lineRule="auto"/>
              <w:ind w:left="1" w:right="46" w:firstLine="0"/>
              <w:jc w:val="left"/>
            </w:pPr>
            <w:r>
              <w:rPr>
                <w:rFonts w:cs="Arial" w:hAnsi="Arial" w:eastAsia="Arial" w:ascii="Arial"/>
              </w:rPr>
              <w:t xml:space="preserve">UNDP procedures and forms, EC procedures and forms, ADA procedures and forms)  for relevant projects implementation. </w:t>
            </w:r>
          </w:p>
          <w:p>
            <w:pPr>
              <w:spacing w:before="0" w:after="60" w:line="240" w:lineRule="auto"/>
              <w:ind w:left="1" w:right="0" w:firstLine="0"/>
              <w:jc w:val="left"/>
            </w:pPr>
            <w:r>
              <w:rPr>
                <w:rFonts w:cs="Arial" w:hAnsi="Arial" w:eastAsia="Arial" w:ascii="Arial"/>
              </w:rPr>
              <w:t xml:space="preserve">And all ToR’s and job descriptions are well defined and the contracts signed with local staff and with external consultants regularly.  </w:t>
            </w:r>
          </w:p>
          <w:p>
            <w:pPr>
              <w:spacing w:before="0" w:after="0" w:line="259" w:lineRule="auto"/>
              <w:ind w:left="1" w:right="3" w:firstLine="0"/>
              <w:jc w:val="left"/>
            </w:pPr>
            <w:r>
              <w:rPr>
                <w:rFonts w:cs="Arial" w:hAnsi="Arial" w:eastAsia="Arial" w:ascii="Arial"/>
              </w:rPr>
              <w:t xml:space="preserve">Systematization document provided by HR consultant and legal advisor and adopted by the Assembly.  </w:t>
            </w:r>
          </w:p>
        </w:tc>
      </w:tr>
      <w:tr>
        <w:trPr>
          <w:trHeight w:val="2027" w:hRule="atLeast"/>
        </w:trPr>
        <w:tc>
          <w:tcPr>
            <w:tcW w:w="9816" w:type="dxa"/>
            <w:gridSpan w:val="4"/>
            <w:tcBorders>
              <w:top w:val="single" w:sz="4" w:color="000000"/>
              <w:left w:val="single" w:sz="4" w:color="000000"/>
              <w:bottom w:val="single" w:sz="4" w:color="000000"/>
              <w:right w:val="single" w:sz="4" w:color="000000"/>
            </w:tcBorders>
            <w:shd w:val="clear" w:fill="ffff9a"/>
            <w:vAlign w:val="top"/>
          </w:tcPr>
          <w:p>
            <w:pPr>
              <w:spacing w:before="0" w:after="0" w:line="259" w:lineRule="auto"/>
              <w:ind w:left="0" w:right="0" w:firstLine="0"/>
              <w:jc w:val="left"/>
            </w:pPr>
            <w:r>
              <w:rPr>
                <w:rFonts w:cs="Arial" w:hAnsi="Arial" w:eastAsia="Arial" w:ascii="Arial"/>
                <w:b w:val="1"/>
              </w:rPr>
              <w:t xml:space="preserve">3.2 Financial Capacity  </w:t>
            </w:r>
          </w:p>
          <w:p>
            <w:pPr>
              <w:spacing w:before="0" w:after="0" w:line="259" w:lineRule="auto"/>
              <w:ind w:left="0" w:right="0" w:firstLine="0"/>
              <w:jc w:val="left"/>
            </w:pPr>
            <w:r>
              <w:rPr>
                <w:rFonts w:cs="Arial" w:hAnsi="Arial" w:eastAsia="Arial" w:ascii="Arial"/>
                <w:i w:val="1"/>
              </w:rPr>
              <w:t xml:space="preserve">Ability to ensure appropriate management of funds </w:t>
            </w:r>
          </w:p>
          <w:p>
            <w:pPr>
              <w:spacing w:before="0" w:after="1" w:line="240" w:lineRule="auto"/>
              <w:ind w:left="0" w:right="0" w:firstLine="0"/>
            </w:pPr>
            <w:r>
              <w:rPr>
                <w:rFonts w:cs="Arial" w:hAnsi="Arial" w:eastAsia="Arial" w:ascii="Arial"/>
              </w:rPr>
              <w:t xml:space="preserve">In addition to the following questions, see also the questionnaire provided in the Guidelines on Micro-assessment of the Framework on Harmonized Approach for Cash Transfer (HACT): </w:t>
            </w:r>
          </w:p>
          <w:p>
            <w:pPr>
              <w:spacing w:before="0" w:after="0" w:line="259" w:lineRule="auto"/>
              <w:ind w:left="0" w:right="0" w:firstLine="0"/>
              <w:jc w:val="left"/>
            </w:pPr>
            <w:r>
              <w:rPr>
                <w:rFonts w:cs="Arial" w:hAnsi="Arial" w:eastAsia="Arial" w:ascii="Arial"/>
                <w:b w:val="1"/>
                <w:color w:val="0000ff"/>
                <w:u w:val="single" w:color="0000ff"/>
              </w:rPr>
              <w:t xml:space="preserve">http://www.undg.org/archive_docs/7110-Framework_for_Cash_Transfers_to_Implementing_Partners.doc</w:t>
            </w:r>
            <w:r>
              <w:rPr>
                <w:rFonts w:cs="Arial" w:hAnsi="Arial" w:eastAsia="Arial" w:ascii="Arial"/>
                <w:b w:val="1"/>
              </w:rPr>
              <w:t xml:space="preserve">  </w:t>
            </w:r>
          </w:p>
          <w:p>
            <w:pPr>
              <w:spacing w:before="0" w:after="0" w:line="259" w:lineRule="auto"/>
              <w:ind w:left="0" w:right="0" w:firstLine="0"/>
              <w:jc w:val="left"/>
            </w:pPr>
            <w:r>
              <w:rPr>
                <w:rFonts w:cs="Arial" w:hAnsi="Arial" w:eastAsia="Arial" w:ascii="Arial"/>
                <w:b w:val="1"/>
              </w:rPr>
              <w:t xml:space="preserve">(ANNEX 3) </w:t>
            </w:r>
          </w:p>
          <w:p>
            <w:pPr>
              <w:spacing w:before="0" w:after="0" w:line="259" w:lineRule="auto"/>
              <w:ind w:left="0" w:right="0" w:firstLine="0"/>
            </w:pPr>
            <w:r>
              <w:rPr>
                <w:rFonts w:cs="Arial" w:hAnsi="Arial" w:eastAsia="Arial" w:ascii="Arial"/>
              </w:rPr>
              <w:t xml:space="preserve">The assessment report is reviewed by the UN agencies to select the most suitable cash transfer modality, and establish appropriate cash transfer procedures and assurance activities to be used with the Implementing Partner.</w:t>
            </w:r>
            <w:r>
              <w:rPr>
                <w:rFonts w:cs="Arial" w:hAnsi="Arial" w:eastAsia="Arial" w:ascii="Arial"/>
                <w:b w:val="1"/>
              </w:rPr>
              <w:t xml:space="preserve"> </w:t>
            </w:r>
          </w:p>
        </w:tc>
      </w:tr>
      <w:tr>
        <w:trPr>
          <w:trHeight w:val="4351" w:hRule="atLeast"/>
        </w:trPr>
        <w:tc>
          <w:tcPr>
            <w:tcW w:w="1949"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Arial" w:hAnsi="Arial" w:eastAsia="Arial" w:ascii="Arial"/>
              </w:rPr>
              <w:t xml:space="preserve">3.2.1 Financial </w:t>
            </w:r>
          </w:p>
          <w:p>
            <w:pPr>
              <w:spacing w:before="0" w:after="0" w:line="259" w:lineRule="auto"/>
              <w:ind w:left="0" w:right="0" w:firstLine="0"/>
              <w:jc w:val="left"/>
            </w:pPr>
            <w:r>
              <w:rPr>
                <w:rFonts w:cs="Arial" w:hAnsi="Arial" w:eastAsia="Arial" w:ascii="Arial"/>
              </w:rPr>
              <w:t xml:space="preserve">management and funding resources </w:t>
            </w:r>
          </w:p>
        </w:tc>
        <w:tc>
          <w:tcPr>
            <w:tcW w:w="2624" w:type="dxa"/>
            <w:tcBorders>
              <w:top w:val="single" w:sz="4" w:color="000000"/>
              <w:left w:val="single" w:sz="4" w:color="000000"/>
              <w:bottom w:val="single" w:sz="4" w:color="000000"/>
              <w:right w:val="single" w:sz="4" w:color="000000"/>
            </w:tcBorders>
            <w:vAlign w:val="top"/>
          </w:tcPr>
          <w:p>
            <w:pPr>
              <w:spacing w:before="0" w:after="60" w:line="239" w:lineRule="auto"/>
              <w:ind w:left="1" w:right="0" w:firstLine="0"/>
              <w:jc w:val="left"/>
            </w:pPr>
            <w:r>
              <w:rPr>
                <w:rFonts w:cs="Arial" w:hAnsi="Arial" w:eastAsia="Arial" w:ascii="Arial"/>
              </w:rPr>
              <w:t xml:space="preserve">Is there a regular budget cycle? </w:t>
            </w:r>
          </w:p>
          <w:p>
            <w:pPr>
              <w:spacing w:before="0" w:after="59" w:line="240" w:lineRule="auto"/>
              <w:ind w:left="1" w:right="0" w:firstLine="0"/>
              <w:jc w:val="left"/>
            </w:pPr>
            <w:r>
              <w:rPr>
                <w:rFonts w:cs="Arial" w:hAnsi="Arial" w:eastAsia="Arial" w:ascii="Arial"/>
              </w:rPr>
              <w:t xml:space="preserve">Does the institution produce programme and project budgets? </w:t>
            </w:r>
          </w:p>
          <w:p>
            <w:pPr>
              <w:spacing w:before="0" w:after="59" w:line="240" w:lineRule="auto"/>
              <w:ind w:left="1" w:right="0" w:firstLine="0"/>
              <w:jc w:val="left"/>
            </w:pPr>
            <w:r>
              <w:rPr>
                <w:rFonts w:cs="Arial" w:hAnsi="Arial" w:eastAsia="Arial" w:ascii="Arial"/>
              </w:rPr>
              <w:t xml:space="preserve">What is the maximum amount of money the institution has managed? </w:t>
            </w:r>
          </w:p>
          <w:p>
            <w:pPr>
              <w:spacing w:before="0" w:after="61" w:line="240" w:lineRule="auto"/>
              <w:ind w:left="1" w:right="0" w:firstLine="0"/>
              <w:jc w:val="left"/>
            </w:pPr>
            <w:r>
              <w:rPr>
                <w:rFonts w:cs="Arial" w:hAnsi="Arial" w:eastAsia="Arial" w:ascii="Arial"/>
              </w:rPr>
              <w:t xml:space="preserve">Does the institution ensure physical security of advances, cash and records? </w:t>
            </w:r>
          </w:p>
          <w:p>
            <w:pPr>
              <w:spacing w:before="0" w:after="61" w:line="239" w:lineRule="auto"/>
              <w:ind w:left="1" w:right="0" w:firstLine="0"/>
              <w:jc w:val="left"/>
            </w:pPr>
            <w:r>
              <w:rPr>
                <w:rFonts w:cs="Arial" w:hAnsi="Arial" w:eastAsia="Arial" w:ascii="Arial"/>
              </w:rPr>
              <w:t xml:space="preserve">Does the institution disburse funds in a timely and effective manner? </w:t>
            </w:r>
          </w:p>
          <w:p>
            <w:pPr>
              <w:spacing w:before="0" w:after="0" w:line="259" w:lineRule="auto"/>
              <w:ind w:left="1" w:right="0" w:firstLine="0"/>
              <w:jc w:val="left"/>
            </w:pPr>
            <w:r>
              <w:rPr>
                <w:rFonts w:cs="Arial" w:hAnsi="Arial" w:eastAsia="Arial" w:ascii="Arial"/>
              </w:rPr>
              <w:t xml:space="preserve">Does the institution have procedures on authority, </w:t>
            </w:r>
          </w:p>
        </w:tc>
        <w:tc>
          <w:tcPr>
            <w:tcW w:w="2216" w:type="dxa"/>
            <w:tcBorders>
              <w:top w:val="single" w:sz="4" w:color="000000"/>
              <w:left w:val="single" w:sz="4" w:color="000000"/>
              <w:bottom w:val="single" w:sz="4" w:color="000000"/>
              <w:right w:val="single" w:sz="4" w:color="000000"/>
            </w:tcBorders>
            <w:vAlign w:val="top"/>
          </w:tcPr>
          <w:p>
            <w:pPr>
              <w:spacing w:before="0" w:after="60" w:line="239" w:lineRule="auto"/>
              <w:ind w:left="1" w:right="0" w:firstLine="0"/>
              <w:jc w:val="left"/>
            </w:pPr>
            <w:r>
              <w:rPr>
                <w:rFonts w:cs="Arial" w:hAnsi="Arial" w:eastAsia="Arial" w:ascii="Arial"/>
              </w:rPr>
              <w:t xml:space="preserve">Operating budgets and financial reports </w:t>
            </w:r>
          </w:p>
          <w:p>
            <w:pPr>
              <w:spacing w:before="0" w:after="59" w:line="240" w:lineRule="auto"/>
              <w:ind w:left="1" w:right="0" w:firstLine="0"/>
              <w:jc w:val="left"/>
            </w:pPr>
            <w:r>
              <w:rPr>
                <w:rFonts w:cs="Arial" w:hAnsi="Arial" w:eastAsia="Arial" w:ascii="Arial"/>
              </w:rPr>
              <w:t xml:space="preserve">List of core and non-core donors and years of funding </w:t>
            </w:r>
          </w:p>
          <w:p>
            <w:pPr>
              <w:spacing w:before="0" w:after="61" w:line="240" w:lineRule="auto"/>
              <w:ind w:left="1" w:right="7" w:firstLine="0"/>
              <w:jc w:val="left"/>
            </w:pPr>
            <w:r>
              <w:rPr>
                <w:rFonts w:cs="Arial" w:hAnsi="Arial" w:eastAsia="Arial" w:ascii="Arial"/>
              </w:rPr>
              <w:t xml:space="preserve">Written procedures ensuring clear records for payable, receivables, stock and inventory </w:t>
            </w:r>
          </w:p>
          <w:p>
            <w:pPr>
              <w:spacing w:before="0" w:after="60" w:line="240" w:lineRule="auto"/>
              <w:ind w:left="1" w:right="35" w:firstLine="0"/>
              <w:jc w:val="left"/>
            </w:pPr>
            <w:r>
              <w:rPr>
                <w:rFonts w:cs="Arial" w:hAnsi="Arial" w:eastAsia="Arial" w:ascii="Arial"/>
              </w:rPr>
              <w:t xml:space="preserve">Reporting system that tracks all commitments and expenditures against budgets by line </w:t>
            </w:r>
          </w:p>
          <w:p>
            <w:pPr>
              <w:spacing w:before="0" w:after="0" w:line="259" w:lineRule="auto"/>
              <w:ind w:left="1" w:right="0" w:firstLine="0"/>
              <w:jc w:val="left"/>
            </w:pPr>
            <w:r>
              <w:rPr>
                <w:rFonts w:cs="Arial" w:hAnsi="Arial" w:eastAsia="Arial" w:ascii="Arial"/>
              </w:rPr>
              <w:t xml:space="preserve"> </w:t>
            </w:r>
          </w:p>
        </w:tc>
        <w:tc>
          <w:tcPr>
            <w:tcW w:w="3026" w:type="dxa"/>
            <w:tcBorders>
              <w:top w:val="single" w:sz="4" w:color="000000"/>
              <w:left w:val="single" w:sz="4" w:color="000000"/>
              <w:bottom w:val="single" w:sz="4" w:color="000000"/>
              <w:right w:val="single" w:sz="4" w:color="000000"/>
            </w:tcBorders>
            <w:vAlign w:val="top"/>
          </w:tcPr>
          <w:p>
            <w:pPr>
              <w:spacing w:before="0" w:after="60" w:line="240" w:lineRule="auto"/>
              <w:ind w:left="1" w:right="0" w:firstLine="0"/>
              <w:jc w:val="left"/>
            </w:pPr>
            <w:r>
              <w:rPr>
                <w:rFonts w:cs="Arial" w:hAnsi="Arial" w:eastAsia="Arial" w:ascii="Arial"/>
              </w:rPr>
              <w:t xml:space="preserve">Budget cycle is monitored by the Assembly, ADA and the EC regularly. And supported by the Action Plan.  </w:t>
            </w:r>
          </w:p>
          <w:p>
            <w:pPr>
              <w:spacing w:before="0" w:after="59" w:line="240" w:lineRule="auto"/>
              <w:ind w:left="1" w:right="43" w:firstLine="0"/>
              <w:jc w:val="left"/>
            </w:pPr>
            <w:r>
              <w:rPr>
                <w:rFonts w:cs="Arial" w:hAnsi="Arial" w:eastAsia="Arial" w:ascii="Arial"/>
              </w:rPr>
              <w:t xml:space="preserve">The institution produces programme and project budgets for every project.  </w:t>
            </w:r>
          </w:p>
          <w:p>
            <w:pPr>
              <w:spacing w:before="0" w:after="59" w:line="240" w:lineRule="auto"/>
              <w:ind w:left="1" w:right="0" w:firstLine="0"/>
              <w:jc w:val="left"/>
            </w:pPr>
            <w:r>
              <w:rPr>
                <w:rFonts w:cs="Arial" w:hAnsi="Arial" w:eastAsia="Arial" w:ascii="Arial"/>
              </w:rPr>
              <w:t xml:space="preserve">The maximum amount of money that institution has managed is 1.950.000 euro per project (ADA).  </w:t>
            </w:r>
          </w:p>
          <w:p>
            <w:pPr>
              <w:spacing w:before="0" w:after="0" w:line="259" w:lineRule="auto"/>
              <w:ind w:left="1" w:right="32" w:firstLine="0"/>
              <w:jc w:val="left"/>
            </w:pPr>
            <w:r>
              <w:rPr>
                <w:rFonts w:cs="Arial" w:hAnsi="Arial" w:eastAsia="Arial" w:ascii="Arial"/>
              </w:rPr>
              <w:t xml:space="preserve">The Agency has its own financial department where is ensuring its physical security of advances, cash and records, and carry out the responsibility for timely disbursement of funds in effective </w:t>
            </w:r>
          </w:p>
        </w:tc>
      </w:tr>
    </w:tbl>
    <w:tbl>
      <w:tblPr>
        <w:tblStyle w:val="TableGrid"/>
        <w:tblW w:w="9816" w:type="dxa"/>
        <w:tblInd w:w="-397" w:type="dxa"/>
        <w:tblCellMar>
          <w:top w:w="49" w:type="dxa"/>
          <w:left w:w="107" w:type="dxa"/>
          <w:bottom w:w="0" w:type="dxa"/>
          <w:right w:w="58" w:type="dxa"/>
        </w:tblCellMar>
      </w:tblPr>
      <w:tblGrid>
        <w:gridCol w:w="1949"/>
        <w:gridCol w:w="2624"/>
        <w:gridCol w:w="2216"/>
        <w:gridCol w:w="3026"/>
      </w:tblGrid>
      <w:tr>
        <w:trPr>
          <w:trHeight w:val="3977" w:hRule="atLeast"/>
        </w:trPr>
        <w:tc>
          <w:tcPr>
            <w:tcW w:w="1949"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624" w:type="dxa"/>
            <w:tcBorders>
              <w:top w:val="single" w:sz="4" w:color="000000"/>
              <w:left w:val="single" w:sz="4" w:color="000000"/>
              <w:bottom w:val="single" w:sz="4" w:color="000000"/>
              <w:right w:val="single" w:sz="4" w:color="000000"/>
            </w:tcBorders>
            <w:vAlign w:val="top"/>
          </w:tcPr>
          <w:p>
            <w:pPr>
              <w:spacing w:before="0" w:after="59" w:line="240" w:lineRule="auto"/>
              <w:ind w:left="0" w:right="0" w:firstLine="0"/>
              <w:jc w:val="left"/>
            </w:pPr>
            <w:r>
              <w:rPr>
                <w:rFonts w:cs="Arial" w:hAnsi="Arial" w:eastAsia="Arial" w:ascii="Arial"/>
              </w:rPr>
              <w:t xml:space="preserve">responsibility, monitoring and accountability of handling funds? </w:t>
            </w:r>
          </w:p>
          <w:p>
            <w:pPr>
              <w:spacing w:before="0" w:after="0" w:line="259" w:lineRule="auto"/>
              <w:ind w:left="0" w:right="28" w:firstLine="0"/>
              <w:jc w:val="left"/>
            </w:pPr>
            <w:r>
              <w:rPr>
                <w:rFonts w:cs="Arial" w:hAnsi="Arial" w:eastAsia="Arial" w:ascii="Arial"/>
              </w:rPr>
              <w:t xml:space="preserve">Does the institution have a record of financial stability and reliability? </w:t>
            </w:r>
          </w:p>
        </w:tc>
        <w:tc>
          <w:tcPr>
            <w:tcW w:w="2216"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026" w:type="dxa"/>
            <w:tcBorders>
              <w:top w:val="single" w:sz="4" w:color="000000"/>
              <w:left w:val="single" w:sz="4" w:color="000000"/>
              <w:bottom w:val="single" w:sz="4" w:color="000000"/>
              <w:right w:val="single" w:sz="4" w:color="000000"/>
            </w:tcBorders>
            <w:vAlign w:val="top"/>
          </w:tcPr>
          <w:p>
            <w:pPr>
              <w:spacing w:before="0" w:after="39" w:line="259" w:lineRule="auto"/>
              <w:ind w:left="0" w:right="0" w:firstLine="0"/>
              <w:jc w:val="left"/>
            </w:pPr>
            <w:r>
              <w:rPr>
                <w:rFonts w:cs="Arial" w:hAnsi="Arial" w:eastAsia="Arial" w:ascii="Arial"/>
              </w:rPr>
              <w:t xml:space="preserve">manner.  </w:t>
            </w:r>
          </w:p>
          <w:p>
            <w:pPr>
              <w:spacing w:before="0" w:after="0" w:line="259" w:lineRule="auto"/>
              <w:ind w:left="0" w:right="0" w:firstLine="0"/>
              <w:jc w:val="left"/>
            </w:pPr>
            <w:r>
              <w:rPr>
                <w:rFonts w:cs="Arial" w:hAnsi="Arial" w:eastAsia="Arial" w:ascii="Arial"/>
              </w:rPr>
              <w:t xml:space="preserve">The Institution has experience in </w:t>
            </w:r>
          </w:p>
          <w:p>
            <w:pPr>
              <w:spacing w:before="0" w:after="60" w:line="240" w:lineRule="auto"/>
              <w:ind w:left="0" w:right="40" w:firstLine="0"/>
              <w:jc w:val="left"/>
            </w:pPr>
            <w:r>
              <w:rPr>
                <w:rFonts w:cs="Arial" w:hAnsi="Arial" w:eastAsia="Arial" w:ascii="Arial"/>
              </w:rPr>
              <w:t xml:space="preserve">all UNDP, EC and ADA procedures on authority, responsibility, monitoring and accountability of handling funds.  </w:t>
            </w:r>
          </w:p>
          <w:p>
            <w:pPr>
              <w:spacing w:before="0" w:after="0" w:line="259" w:lineRule="auto"/>
              <w:ind w:left="0" w:right="10" w:firstLine="0"/>
              <w:jc w:val="left"/>
            </w:pPr>
            <w:r>
              <w:rPr>
                <w:rFonts w:cs="Arial" w:hAnsi="Arial" w:eastAsia="Arial" w:ascii="Arial"/>
              </w:rPr>
              <w:t xml:space="preserve">The institution has reporting system that tracks all commitments and expenditure supported by Legal accounting office.  It has a positive track record of winning projects and sound co-financing, and approved further financing upon reports by audit companies for current projects. </w:t>
            </w:r>
          </w:p>
        </w:tc>
      </w:tr>
      <w:tr>
        <w:trPr>
          <w:trHeight w:val="5491" w:hRule="atLeast"/>
        </w:trPr>
        <w:tc>
          <w:tcPr>
            <w:tcW w:w="1949"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Arial" w:hAnsi="Arial" w:eastAsia="Arial" w:ascii="Arial"/>
              </w:rPr>
              <w:t xml:space="preserve">3.2.2. Accounting </w:t>
            </w:r>
          </w:p>
          <w:p>
            <w:pPr>
              <w:spacing w:before="0" w:after="0" w:line="259" w:lineRule="auto"/>
              <w:ind w:left="0" w:right="0" w:firstLine="0"/>
              <w:jc w:val="left"/>
            </w:pPr>
            <w:r>
              <w:rPr>
                <w:rFonts w:cs="Arial" w:hAnsi="Arial" w:eastAsia="Arial" w:ascii="Arial"/>
              </w:rPr>
              <w:t xml:space="preserve">System </w:t>
            </w:r>
          </w:p>
        </w:tc>
        <w:tc>
          <w:tcPr>
            <w:tcW w:w="2624" w:type="dxa"/>
            <w:tcBorders>
              <w:top w:val="single" w:sz="4" w:color="000000"/>
              <w:left w:val="single" w:sz="4" w:color="000000"/>
              <w:bottom w:val="single" w:sz="4" w:color="000000"/>
              <w:right w:val="single" w:sz="4" w:color="000000"/>
            </w:tcBorders>
            <w:vAlign w:val="top"/>
          </w:tcPr>
          <w:p>
            <w:pPr>
              <w:spacing w:before="0" w:after="61" w:line="239" w:lineRule="auto"/>
              <w:ind w:left="0" w:right="0" w:firstLine="0"/>
              <w:jc w:val="left"/>
            </w:pPr>
            <w:r>
              <w:rPr>
                <w:rFonts w:cs="Arial" w:hAnsi="Arial" w:eastAsia="Arial" w:ascii="Arial"/>
              </w:rPr>
              <w:t xml:space="preserve">Does the institution keep good, accurate and informative accounts? </w:t>
            </w:r>
          </w:p>
          <w:p>
            <w:pPr>
              <w:spacing w:before="0" w:after="0" w:line="259" w:lineRule="auto"/>
              <w:ind w:left="0" w:right="0" w:firstLine="0"/>
              <w:jc w:val="left"/>
            </w:pPr>
            <w:r>
              <w:rPr>
                <w:rFonts w:cs="Arial" w:hAnsi="Arial" w:eastAsia="Arial" w:ascii="Arial"/>
              </w:rPr>
              <w:t xml:space="preserve">Does the institution have the ability to ensure proper financial recording and reporting? </w:t>
            </w:r>
          </w:p>
        </w:tc>
        <w:tc>
          <w:tcPr>
            <w:tcW w:w="2216" w:type="dxa"/>
            <w:tcBorders>
              <w:top w:val="single" w:sz="4" w:color="000000"/>
              <w:left w:val="single" w:sz="4" w:color="000000"/>
              <w:bottom w:val="single" w:sz="4" w:color="000000"/>
              <w:right w:val="single" w:sz="4" w:color="000000"/>
            </w:tcBorders>
            <w:vAlign w:val="top"/>
          </w:tcPr>
          <w:p>
            <w:pPr>
              <w:spacing w:before="0" w:after="60" w:line="239" w:lineRule="auto"/>
              <w:ind w:left="0" w:right="0" w:firstLine="0"/>
              <w:jc w:val="left"/>
            </w:pPr>
            <w:r>
              <w:rPr>
                <w:rFonts w:cs="Arial" w:hAnsi="Arial" w:eastAsia="Arial" w:ascii="Arial"/>
              </w:rPr>
              <w:t xml:space="preserve">A bank account or bank statements </w:t>
            </w:r>
          </w:p>
          <w:p>
            <w:pPr>
              <w:spacing w:before="0" w:after="59" w:line="241" w:lineRule="auto"/>
              <w:ind w:left="0" w:right="0" w:firstLine="0"/>
              <w:jc w:val="left"/>
            </w:pPr>
            <w:r>
              <w:rPr>
                <w:rFonts w:cs="Arial" w:hAnsi="Arial" w:eastAsia="Arial" w:ascii="Arial"/>
              </w:rPr>
              <w:t xml:space="preserve">Audited financial statements </w:t>
            </w:r>
          </w:p>
          <w:p>
            <w:pPr>
              <w:spacing w:before="0" w:after="59" w:line="240" w:lineRule="auto"/>
              <w:ind w:left="0" w:right="0" w:firstLine="0"/>
              <w:jc w:val="left"/>
            </w:pPr>
            <w:r>
              <w:rPr>
                <w:rFonts w:cs="Arial" w:hAnsi="Arial" w:eastAsia="Arial" w:ascii="Arial"/>
              </w:rPr>
              <w:t xml:space="preserve">Good, accurate and informative accounting system </w:t>
            </w:r>
          </w:p>
          <w:p>
            <w:pPr>
              <w:spacing w:before="0" w:after="60" w:line="240" w:lineRule="auto"/>
              <w:ind w:left="0" w:right="11" w:firstLine="0"/>
              <w:jc w:val="left"/>
            </w:pPr>
            <w:r>
              <w:rPr>
                <w:rFonts w:cs="Arial" w:hAnsi="Arial" w:eastAsia="Arial" w:ascii="Arial"/>
              </w:rPr>
              <w:t xml:space="preserve">Written procedures for processing payments to control the risks through segregation of duties, and transaction recording and reporting </w:t>
            </w:r>
          </w:p>
          <w:p>
            <w:pPr>
              <w:spacing w:before="0" w:after="0" w:line="259" w:lineRule="auto"/>
              <w:ind w:left="0" w:right="0" w:firstLine="0"/>
              <w:jc w:val="left"/>
            </w:pPr>
            <w:r>
              <w:rPr>
                <w:rFonts w:cs="Arial" w:hAnsi="Arial" w:eastAsia="Arial" w:ascii="Arial"/>
              </w:rPr>
              <w:t xml:space="preserve"> </w:t>
            </w:r>
          </w:p>
        </w:tc>
        <w:tc>
          <w:tcPr>
            <w:tcW w:w="3026" w:type="dxa"/>
            <w:tcBorders>
              <w:top w:val="single" w:sz="4" w:color="000000"/>
              <w:left w:val="single" w:sz="4" w:color="000000"/>
              <w:bottom w:val="single" w:sz="4" w:color="000000"/>
              <w:right w:val="single" w:sz="4" w:color="000000"/>
            </w:tcBorders>
            <w:vAlign w:val="top"/>
          </w:tcPr>
          <w:p>
            <w:pPr>
              <w:spacing w:before="0" w:after="61" w:line="240" w:lineRule="auto"/>
              <w:ind w:left="0" w:right="0" w:firstLine="0"/>
              <w:jc w:val="left"/>
            </w:pPr>
            <w:r>
              <w:rPr>
                <w:rFonts w:cs="Arial" w:hAnsi="Arial" w:eastAsia="Arial" w:ascii="Arial"/>
              </w:rPr>
              <w:t xml:space="preserve">The Center for Development of Jablanica and Pcinja districts has legal bank accounts (one donor – one account) and statements are provided regularly. Outsourced accountant holds responsibility for provision of reports according to national law. All financial documentation is scanned and copied in separate folders for specific programmes/projects.  </w:t>
            </w:r>
          </w:p>
          <w:p>
            <w:pPr>
              <w:spacing w:before="0" w:after="61" w:line="240" w:lineRule="auto"/>
              <w:ind w:left="0" w:right="29" w:firstLine="0"/>
              <w:jc w:val="left"/>
            </w:pPr>
            <w:r>
              <w:rPr>
                <w:rFonts w:cs="Arial" w:hAnsi="Arial" w:eastAsia="Arial" w:ascii="Arial"/>
              </w:rPr>
              <w:t xml:space="preserve">External audit reports are produced on annual basis for separate programmes/projects in cooperation with our financial department.  </w:t>
            </w:r>
          </w:p>
          <w:p>
            <w:pPr>
              <w:spacing w:before="0" w:after="0" w:line="259" w:lineRule="auto"/>
              <w:ind w:left="0" w:right="0" w:firstLine="0"/>
              <w:jc w:val="left"/>
            </w:pPr>
            <w:r>
              <w:rPr>
                <w:rFonts w:cs="Arial" w:hAnsi="Arial" w:eastAsia="Arial" w:ascii="Arial"/>
              </w:rPr>
              <w:t xml:space="preserve">Center for Development of Jablanica and Pcinja Districts follows all national regular legal written procedures for processing payments to control the risks.  </w:t>
            </w:r>
          </w:p>
        </w:tc>
      </w:tr>
      <w:tr>
        <w:trPr>
          <w:trHeight w:val="2090" w:hRule="atLeast"/>
        </w:trPr>
        <w:tc>
          <w:tcPr>
            <w:tcW w:w="1949"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Arial" w:hAnsi="Arial" w:eastAsia="Arial" w:ascii="Arial"/>
              </w:rPr>
              <w:t xml:space="preserve">3.2.3. Knowledge of UNDP financial system </w:t>
            </w:r>
          </w:p>
        </w:tc>
        <w:tc>
          <w:tcPr>
            <w:tcW w:w="2624"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Arial" w:hAnsi="Arial" w:eastAsia="Arial" w:ascii="Arial"/>
              </w:rPr>
              <w:t xml:space="preserve">Does the institution have staff familiar with Atlas through External Access? </w:t>
            </w:r>
          </w:p>
        </w:tc>
        <w:tc>
          <w:tcPr>
            <w:tcW w:w="2216" w:type="dxa"/>
            <w:tcBorders>
              <w:top w:val="single" w:sz="4" w:color="000000"/>
              <w:left w:val="single" w:sz="4" w:color="000000"/>
              <w:bottom w:val="single" w:sz="4" w:color="000000"/>
              <w:right w:val="single" w:sz="4" w:color="000000"/>
            </w:tcBorders>
            <w:vAlign w:val="top"/>
          </w:tcPr>
          <w:p>
            <w:pPr>
              <w:spacing w:before="0" w:after="0" w:line="259" w:lineRule="auto"/>
              <w:ind w:left="0" w:right="30" w:firstLine="0"/>
              <w:jc w:val="left"/>
            </w:pPr>
            <w:r>
              <w:rPr>
                <w:rFonts w:cs="Arial" w:hAnsi="Arial" w:eastAsia="Arial" w:ascii="Arial"/>
              </w:rPr>
              <w:t xml:space="preserve">External access provided  </w:t>
            </w:r>
          </w:p>
        </w:tc>
        <w:tc>
          <w:tcPr>
            <w:tcW w:w="3026" w:type="dxa"/>
            <w:tcBorders>
              <w:top w:val="single" w:sz="4" w:color="000000"/>
              <w:left w:val="single" w:sz="4" w:color="000000"/>
              <w:bottom w:val="single" w:sz="4" w:color="000000"/>
              <w:right w:val="single" w:sz="4" w:color="000000"/>
            </w:tcBorders>
            <w:vAlign w:val="top"/>
          </w:tcPr>
          <w:p>
            <w:pPr>
              <w:spacing w:before="0" w:after="0" w:line="259" w:lineRule="auto"/>
              <w:ind w:left="0" w:right="20" w:firstLine="0"/>
              <w:jc w:val="left"/>
            </w:pPr>
            <w:r>
              <w:rPr>
                <w:rFonts w:cs="Arial" w:hAnsi="Arial" w:eastAsia="Arial" w:ascii="Arial"/>
              </w:rPr>
              <w:t xml:space="preserve">The Director is familiar with Atlas because of the previous professional engagements and 6 years experience with UNDP MIR 2 program as a Supervisor.  Financial manager also has experience gained through UNDP MIR2 programme. </w:t>
            </w:r>
          </w:p>
        </w:tc>
      </w:tr>
    </w:tbl>
    <w:p>
      <w:pPr>
        <w:spacing w:before="0" w:after="30" w:line="259" w:lineRule="auto"/>
        <w:ind w:left="-289" w:right="0" w:firstLine="0"/>
      </w:pPr>
      <w:r>
        <w:rPr>
          <w:rFonts w:cs="Calibri" w:hAnsi="Calibri" w:eastAsia="Calibri" w:ascii="Calibri"/>
          <w:b w:val="1"/>
        </w:rPr>
        <w:t xml:space="preserve"> </w:t>
      </w:r>
    </w:p>
    <w:p>
      <w:pPr>
        <w:spacing w:before="0" w:after="0" w:line="259" w:lineRule="auto"/>
        <w:ind w:left="-289" w:right="0" w:firstLine="0"/>
      </w:pPr>
      <w:r>
        <w:rPr>
          <w:rFonts w:cs="Arial" w:hAnsi="Arial" w:eastAsia="Arial" w:ascii="Arial"/>
        </w:rPr>
        <w:t xml:space="preserve"> </w:t>
      </w:r>
    </w:p>
    <w:sectPr>
      <w:footerReference w:type="even" r:id="rId15"/>
      <w:footerReference w:type="default" r:id="rId14"/>
      <w:footerReference w:type="first" r:id="rId13"/>
      <w:footnotePr>
        <w:numRestart w:val="eachPage"/>
      </w:footnotePr>
      <w:pgSz w:w="11900" w:h="16840" w:orient="portrait"/>
      <w:pgMar w:footer="496" w:left="1440" w:top="991" w:right="1440" w:bottom="881"/>
      <w:pgNumType w:fmt="decimal"/>
      <w:cols/>
    </w:sectPr>
  </w:body>
</w:document>
</file>

<file path=word/footer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0.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0" w:right="60" w:firstLine="0"/>
      <w:jc w:val="center"/>
    </w:pPr>
    <w:fldSimple w:instr=" PAGE   \* MERGEFORMAT ">
      <w:r>
        <w:rPr>
          <w:rFonts w:cs="Arial" w:hAnsi="Arial" w:eastAsia="Arial" w:ascii="Arial"/>
        </w:rPr>
        <w:t xml:space="preserve">4</w:t>
      </w:r>
    </w:fldSimple>
    <w:r>
      <w:rPr>
        <w:rFonts w:cs="Arial" w:hAnsi="Arial" w:eastAsia="Arial" w:ascii="Arial"/>
      </w:rPr>
      <w:t xml:space="preserve"> </w:t>
    </w:r>
  </w:p>
</w:ftr>
</file>

<file path=word/footer13.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6" w:right="0" w:firstLine="0"/>
      <w:jc w:val="center"/>
    </w:pPr>
    <w:fldSimple w:instr=" PAGE   \* MERGEFORMAT ">
      <w:r>
        <w:rPr>
          <w:rFonts w:cs="Arial" w:hAnsi="Arial" w:eastAsia="Arial" w:ascii="Arial"/>
        </w:rPr>
        <w:t xml:space="preserve">4</w:t>
      </w:r>
    </w:fldSimple>
    <w:r>
      <w:rPr>
        <w:rFonts w:cs="Arial" w:hAnsi="Arial" w:eastAsia="Arial" w:ascii="Arial"/>
      </w:rPr>
      <w:t xml:space="preserve"> </w:t>
    </w:r>
  </w:p>
</w:ftr>
</file>

<file path=word/footer14.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6" w:right="0" w:firstLine="0"/>
      <w:jc w:val="center"/>
    </w:pPr>
    <w:fldSimple w:instr=" PAGE   \* MERGEFORMAT ">
      <w:r>
        <w:rPr>
          <w:rFonts w:cs="Arial" w:hAnsi="Arial" w:eastAsia="Arial" w:ascii="Arial"/>
        </w:rPr>
        <w:t xml:space="preserve">4</w:t>
      </w:r>
    </w:fldSimple>
    <w:r>
      <w:rPr>
        <w:rFonts w:cs="Arial" w:hAnsi="Arial" w:eastAsia="Arial" w:ascii="Arial"/>
      </w:rPr>
      <w:t xml:space="preserve"> </w:t>
    </w:r>
  </w:p>
</w:ftr>
</file>

<file path=word/footer15.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6" w:right="0" w:firstLine="0"/>
      <w:jc w:val="center"/>
    </w:pPr>
    <w:fldSimple w:instr=" PAGE   \* MERGEFORMAT ">
      <w:r>
        <w:rPr>
          <w:rFonts w:cs="Arial" w:hAnsi="Arial" w:eastAsia="Arial" w:ascii="Arial"/>
        </w:rPr>
        <w:t xml:space="preserve">4</w:t>
      </w:r>
    </w:fldSimple>
    <w:r>
      <w:rPr>
        <w:rFonts w:cs="Arial" w:hAnsi="Arial" w:eastAsia="Arial" w:ascii="Arial"/>
      </w:rPr>
      <w:t xml:space="preserve"> </w:t>
    </w:r>
  </w:p>
</w:ftr>
</file>

<file path=word/footer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3.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4.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5.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0" w:right="61" w:firstLine="0"/>
      <w:jc w:val="center"/>
    </w:pPr>
    <w:fldSimple w:instr=" PAGE   \* MERGEFORMAT ">
      <w:r>
        <w:rPr>
          <w:rFonts w:cs="Arial" w:hAnsi="Arial" w:eastAsia="Arial" w:ascii="Arial"/>
        </w:rPr>
        <w:t xml:space="preserve">4</w:t>
      </w:r>
    </w:fldSimple>
    <w:r>
      <w:rPr>
        <w:rFonts w:cs="Arial" w:hAnsi="Arial" w:eastAsia="Arial" w:ascii="Arial"/>
      </w:rPr>
      <w:t xml:space="preserve"> </w:t>
    </w:r>
  </w:p>
</w:ftr>
</file>

<file path=word/footer6.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0" w:right="61" w:firstLine="0"/>
      <w:jc w:val="center"/>
    </w:pPr>
    <w:fldSimple w:instr=" PAGE   \* MERGEFORMAT ">
      <w:r>
        <w:rPr>
          <w:rFonts w:cs="Arial" w:hAnsi="Arial" w:eastAsia="Arial" w:ascii="Arial"/>
        </w:rPr>
        <w:t xml:space="preserve">4</w:t>
      </w:r>
    </w:fldSimple>
    <w:r>
      <w:rPr>
        <w:rFonts w:cs="Arial" w:hAnsi="Arial" w:eastAsia="Arial" w:ascii="Arial"/>
      </w:rPr>
      <w:t xml:space="preserve"> </w:t>
    </w:r>
  </w:p>
</w:ftr>
</file>

<file path=word/footer7.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8.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0" w:right="238" w:firstLine="0"/>
      <w:jc w:val="center"/>
    </w:pPr>
    <w:fldSimple w:instr=" PAGE   \* MERGEFORMAT ">
      <w:r>
        <w:rPr>
          <w:rFonts w:cs="Arial" w:hAnsi="Arial" w:eastAsia="Arial" w:ascii="Arial"/>
        </w:rPr>
        <w:t xml:space="preserve">14</w:t>
      </w:r>
    </w:fldSimple>
    <w:r>
      <w:rPr>
        <w:rFonts w:cs="Arial" w:hAnsi="Arial" w:eastAsia="Arial" w:ascii="Arial"/>
      </w:rPr>
      <w:t xml:space="preserve"> </w:t>
    </w:r>
  </w:p>
</w:ftr>
</file>

<file path=word/footer9.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0" w:right="238" w:firstLine="0"/>
      <w:jc w:val="center"/>
    </w:pPr>
    <w:fldSimple w:instr=" PAGE   \* MERGEFORMAT ">
      <w:r>
        <w:rPr>
          <w:rFonts w:cs="Arial" w:hAnsi="Arial" w:eastAsia="Arial" w:ascii="Arial"/>
        </w:rPr>
        <w:t xml:space="preserve">14</w:t>
      </w:r>
    </w:fldSimple>
    <w:r>
      <w:rPr>
        <w:rFonts w:cs="Arial" w:hAnsi="Arial" w:eastAsia="Arial" w:ascii="Arial"/>
      </w:rPr>
      <w:t xml:space="preserve"> </w:t>
    </w:r>
  </w:p>
</w:ftr>
</file>

<file path=word/footnotes.xml><?xml version="1.0" encoding="utf-8"?>
<w:footnotes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footnote w:type="separator" w:id="-1">
    <w:p>
      <w:pPr>
        <w:spacing w:before="0" w:after="0" w:line="259" w:lineRule="auto"/>
        <w:ind w:left="0" w:right="0" w:firstLine="0"/>
        <w:jc w:val="left"/>
      </w:pPr>
      <w:r>
        <w:separator/>
      </w:r>
    </w:p>
  </w:footnote>
  <w:footnote w:type="continuationSeparator" w:id="0">
    <w:p>
      <w:pPr>
        <w:spacing w:before="0" w:after="0" w:line="259" w:lineRule="auto"/>
        <w:ind w:left="0" w:right="0" w:firstLine="0"/>
        <w:jc w:val="left"/>
      </w:pPr>
      <w:r>
        <w:continuationSeparator/>
      </w:r>
    </w:p>
  </w:footnote>
  <w:footnote w:id="16">
    <w:p>
      <w:pPr>
        <w:pStyle w:val="footnote description"/>
        <w:spacing w:before="0" w:after="0" w:line="259" w:lineRule="auto"/>
        <w:ind w:left="0"/>
      </w:pPr>
      <w:r>
        <w:rPr>
          <w:rStyle w:val="footnote mark"/>
        </w:rPr>
        <w:footnoteRef/>
      </w:r>
      <w:r>
        <w:t xml:space="preserve"/>
      </w:r>
      <w:r>
        <w:rPr>
          <w:rFonts w:cs="Courier New" w:hAnsi="Courier New" w:eastAsia="Courier New" w:ascii="Courier New"/>
          <w:sz w:val="22"/>
          <w:vertAlign w:val="baseline"/>
        </w:rPr>
        <w:t xml:space="preserve"> </w:t>
      </w:r>
      <w:r>
        <w:rPr>
          <w:rFonts w:cs="Calibri" w:hAnsi="Calibri" w:eastAsia="Calibri" w:ascii="Calibri"/>
          <w:vertAlign w:val="baseline"/>
        </w:rPr>
        <w:t xml:space="preserve">Nomenclature of Territories (NUTS) is an EU statistical mechanism for dividing up regions. </w:t>
      </w:r>
    </w:p>
    <w:p>
      <w:pPr>
        <w:pStyle w:val="footnote description"/>
        <w:spacing w:before="0" w:after="0" w:line="259" w:lineRule="auto"/>
        <w:ind w:left="0"/>
        <w:jc w:val="right"/>
      </w:pPr>
      <w:r>
        <w:rPr>
          <w:sz w:val="22"/>
          <w:vertAlign w:val="baseline"/>
        </w:rPr>
        <w:t xml:space="preserve"> </w:t>
      </w:r>
    </w:p>
  </w:footnote>
</w:footnotes>
</file>

<file path=word/numbering.xml><?xml version="1.0" encoding="utf-8"?>
<w:numbering xmlns:mc="http://schemas.openxmlformats.org/markup-compatibility/2006" xmlns:w14="http://schemas.microsoft.com/office/word/2010/wordml" xmlns:wp14="http://schemas.microsoft.com/office/word/2010/wordml" xmlns:w="http://schemas.openxmlformats.org/wordprocessingml/2006/main" mc:Ignorable="w14 wp14">
  <w:abstractNum w:abstractNumId="0">
    <w:multiLevelType w:val="hybridMultilevel"/>
    <w:lvl w:ilvl="0">
      <w:start w:val="1"/>
      <w:numFmt w:val="bullet"/>
      <w:lvlText w:val="•"/>
      <w:pPr>
        <w:ind w:left="360"/>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146"/>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2">
      <w:start w:val="1"/>
      <w:numFmt w:val="bullet"/>
      <w:lvlText w:val="▪"/>
      <w:pPr>
        <w:ind w:left="1866"/>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3">
      <w:start w:val="1"/>
      <w:numFmt w:val="bullet"/>
      <w:lvlText w:val="•"/>
      <w:pPr>
        <w:ind w:left="2586"/>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306"/>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5">
      <w:start w:val="1"/>
      <w:numFmt w:val="bullet"/>
      <w:lvlText w:val="▪"/>
      <w:pPr>
        <w:ind w:left="4026"/>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6">
      <w:start w:val="1"/>
      <w:numFmt w:val="bullet"/>
      <w:lvlText w:val="•"/>
      <w:pPr>
        <w:ind w:left="4746"/>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466"/>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8">
      <w:start w:val="1"/>
      <w:numFmt w:val="bullet"/>
      <w:lvlText w:val="▪"/>
      <w:pPr>
        <w:ind w:left="6186"/>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abstractNum>
  <w:abstractNum w:abstractNumId="1">
    <w:multiLevelType w:val="hybridMultilevel"/>
    <w:lvl w:ilvl="0">
      <w:start w:val="1"/>
      <w:numFmt w:val="decimal"/>
      <w:lvlText w:val="%1."/>
      <w:pPr>
        <w:ind w:left="360"/>
      </w:pPr>
      <w:rPr>
        <w:rFonts w:cs="Calibri" w:hAnsi="Calibri" w:eastAsia="Calibri" w:ascii="Calibri"/>
        <w:b w:val="0"/>
        <w:i w:val="0"/>
        <w:strike w:val="0"/>
        <w:dstrike w:val="0"/>
        <w:color w:val="000000"/>
        <w:sz w:val="22"/>
        <w:szCs w:val="22"/>
        <w:u w:val="none" w:color="000000"/>
        <w:bdr w:val="none"/>
        <w:shd w:val="clear"/>
        <w:vertAlign w:val="baseline"/>
      </w:rPr>
    </w:lvl>
    <w:lvl w:ilvl="1">
      <w:start w:val="1"/>
      <w:numFmt w:val="lowerLetter"/>
      <w:lvlText w:val="%2"/>
      <w:pPr>
        <w:ind w:left="1147"/>
      </w:pPr>
      <w:rPr>
        <w:rFonts w:cs="Calibri" w:hAnsi="Calibri" w:eastAsia="Calibri" w:ascii="Calibri"/>
        <w:b w:val="0"/>
        <w:i w:val="0"/>
        <w:strike w:val="0"/>
        <w:dstrike w:val="0"/>
        <w:color w:val="000000"/>
        <w:sz w:val="22"/>
        <w:szCs w:val="22"/>
        <w:u w:val="none" w:color="000000"/>
        <w:bdr w:val="none"/>
        <w:shd w:val="clear"/>
        <w:vertAlign w:val="baseline"/>
      </w:rPr>
    </w:lvl>
    <w:lvl w:ilvl="2">
      <w:start w:val="1"/>
      <w:numFmt w:val="lowerRoman"/>
      <w:lvlText w:val="%3"/>
      <w:pPr>
        <w:ind w:left="1867"/>
      </w:pPr>
      <w:rPr>
        <w:rFonts w:cs="Calibri" w:hAnsi="Calibri" w:eastAsia="Calibri" w:ascii="Calibri"/>
        <w:b w:val="0"/>
        <w:i w:val="0"/>
        <w:strike w:val="0"/>
        <w:dstrike w:val="0"/>
        <w:color w:val="000000"/>
        <w:sz w:val="22"/>
        <w:szCs w:val="22"/>
        <w:u w:val="none" w:color="000000"/>
        <w:bdr w:val="none"/>
        <w:shd w:val="clear"/>
        <w:vertAlign w:val="baseline"/>
      </w:rPr>
    </w:lvl>
    <w:lvl w:ilvl="3">
      <w:start w:val="1"/>
      <w:numFmt w:val="decimal"/>
      <w:lvlText w:val="%4"/>
      <w:pPr>
        <w:ind w:left="2587"/>
      </w:pPr>
      <w:rPr>
        <w:rFonts w:cs="Calibri" w:hAnsi="Calibri" w:eastAsia="Calibri" w:ascii="Calibri"/>
        <w:b w:val="0"/>
        <w:i w:val="0"/>
        <w:strike w:val="0"/>
        <w:dstrike w:val="0"/>
        <w:color w:val="000000"/>
        <w:sz w:val="22"/>
        <w:szCs w:val="22"/>
        <w:u w:val="none" w:color="000000"/>
        <w:bdr w:val="none"/>
        <w:shd w:val="clear"/>
        <w:vertAlign w:val="baseline"/>
      </w:rPr>
    </w:lvl>
    <w:lvl w:ilvl="4">
      <w:start w:val="1"/>
      <w:numFmt w:val="lowerLetter"/>
      <w:lvlText w:val="%5"/>
      <w:pPr>
        <w:ind w:left="3307"/>
      </w:pPr>
      <w:rPr>
        <w:rFonts w:cs="Calibri" w:hAnsi="Calibri" w:eastAsia="Calibri" w:ascii="Calibri"/>
        <w:b w:val="0"/>
        <w:i w:val="0"/>
        <w:strike w:val="0"/>
        <w:dstrike w:val="0"/>
        <w:color w:val="000000"/>
        <w:sz w:val="22"/>
        <w:szCs w:val="22"/>
        <w:u w:val="none" w:color="000000"/>
        <w:bdr w:val="none"/>
        <w:shd w:val="clear"/>
        <w:vertAlign w:val="baseline"/>
      </w:rPr>
    </w:lvl>
    <w:lvl w:ilvl="5">
      <w:start w:val="1"/>
      <w:numFmt w:val="lowerRoman"/>
      <w:lvlText w:val="%6"/>
      <w:pPr>
        <w:ind w:left="4027"/>
      </w:pPr>
      <w:rPr>
        <w:rFonts w:cs="Calibri" w:hAnsi="Calibri" w:eastAsia="Calibri" w:ascii="Calibri"/>
        <w:b w:val="0"/>
        <w:i w:val="0"/>
        <w:strike w:val="0"/>
        <w:dstrike w:val="0"/>
        <w:color w:val="000000"/>
        <w:sz w:val="22"/>
        <w:szCs w:val="22"/>
        <w:u w:val="none" w:color="000000"/>
        <w:bdr w:val="none"/>
        <w:shd w:val="clear"/>
        <w:vertAlign w:val="baseline"/>
      </w:rPr>
    </w:lvl>
    <w:lvl w:ilvl="6">
      <w:start w:val="1"/>
      <w:numFmt w:val="decimal"/>
      <w:lvlText w:val="%7"/>
      <w:pPr>
        <w:ind w:left="4747"/>
      </w:pPr>
      <w:rPr>
        <w:rFonts w:cs="Calibri" w:hAnsi="Calibri" w:eastAsia="Calibri" w:ascii="Calibri"/>
        <w:b w:val="0"/>
        <w:i w:val="0"/>
        <w:strike w:val="0"/>
        <w:dstrike w:val="0"/>
        <w:color w:val="000000"/>
        <w:sz w:val="22"/>
        <w:szCs w:val="22"/>
        <w:u w:val="none" w:color="000000"/>
        <w:bdr w:val="none"/>
        <w:shd w:val="clear"/>
        <w:vertAlign w:val="baseline"/>
      </w:rPr>
    </w:lvl>
    <w:lvl w:ilvl="7">
      <w:start w:val="1"/>
      <w:numFmt w:val="lowerLetter"/>
      <w:lvlText w:val="%8"/>
      <w:pPr>
        <w:ind w:left="5467"/>
      </w:pPr>
      <w:rPr>
        <w:rFonts w:cs="Calibri" w:hAnsi="Calibri" w:eastAsia="Calibri" w:ascii="Calibri"/>
        <w:b w:val="0"/>
        <w:i w:val="0"/>
        <w:strike w:val="0"/>
        <w:dstrike w:val="0"/>
        <w:color w:val="000000"/>
        <w:sz w:val="22"/>
        <w:szCs w:val="22"/>
        <w:u w:val="none" w:color="000000"/>
        <w:bdr w:val="none"/>
        <w:shd w:val="clear"/>
        <w:vertAlign w:val="baseline"/>
      </w:rPr>
    </w:lvl>
    <w:lvl w:ilvl="8">
      <w:start w:val="1"/>
      <w:numFmt w:val="lowerRoman"/>
      <w:lvlText w:val="%9"/>
      <w:pPr>
        <w:ind w:left="6187"/>
      </w:pPr>
      <w:rPr>
        <w:rFonts w:cs="Calibri" w:hAnsi="Calibri" w:eastAsia="Calibri" w:ascii="Calibri"/>
        <w:b w:val="0"/>
        <w:i w:val="0"/>
        <w:strike w:val="0"/>
        <w:dstrike w:val="0"/>
        <w:color w:val="000000"/>
        <w:sz w:val="22"/>
        <w:szCs w:val="22"/>
        <w:u w:val="none" w:color="000000"/>
        <w:bdr w:val="none"/>
        <w:shd w:val="clear"/>
        <w:vertAlign w:val="baseline"/>
      </w:rPr>
    </w:lvl>
  </w:abstractNum>
  <w:abstractNum w:abstractNumId="2">
    <w:multiLevelType w:val="hybridMultilevel"/>
    <w:lvl w:ilvl="0">
      <w:start w:val="1"/>
      <w:numFmt w:val="bullet"/>
      <w:lvlText w:val="•"/>
      <w:pPr>
        <w:ind w:left="425"/>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081"/>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2">
      <w:start w:val="1"/>
      <w:numFmt w:val="bullet"/>
      <w:lvlText w:val="▪"/>
      <w:pPr>
        <w:ind w:left="1801"/>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3">
      <w:start w:val="1"/>
      <w:numFmt w:val="bullet"/>
      <w:lvlText w:val="•"/>
      <w:pPr>
        <w:ind w:left="2521"/>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241"/>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5">
      <w:start w:val="1"/>
      <w:numFmt w:val="bullet"/>
      <w:lvlText w:val="▪"/>
      <w:pPr>
        <w:ind w:left="3961"/>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6">
      <w:start w:val="1"/>
      <w:numFmt w:val="bullet"/>
      <w:lvlText w:val="•"/>
      <w:pPr>
        <w:ind w:left="4681"/>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401"/>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8">
      <w:start w:val="1"/>
      <w:numFmt w:val="bullet"/>
      <w:lvlText w:val="▪"/>
      <w:pPr>
        <w:ind w:left="6121"/>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abstractNum>
  <w:abstractNum w:abstractNumId="3">
    <w:multiLevelType w:val="hybridMultilevel"/>
    <w:lvl w:ilvl="0">
      <w:start w:val="1"/>
      <w:numFmt w:val="bullet"/>
      <w:lvlText w:val="•"/>
      <w:pPr>
        <w:ind w:left="294"/>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146"/>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2">
      <w:start w:val="1"/>
      <w:numFmt w:val="bullet"/>
      <w:lvlText w:val="▪"/>
      <w:pPr>
        <w:ind w:left="1866"/>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3">
      <w:start w:val="1"/>
      <w:numFmt w:val="bullet"/>
      <w:lvlText w:val="•"/>
      <w:pPr>
        <w:ind w:left="2586"/>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306"/>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5">
      <w:start w:val="1"/>
      <w:numFmt w:val="bullet"/>
      <w:lvlText w:val="▪"/>
      <w:pPr>
        <w:ind w:left="4026"/>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6">
      <w:start w:val="1"/>
      <w:numFmt w:val="bullet"/>
      <w:lvlText w:val="•"/>
      <w:pPr>
        <w:ind w:left="4746"/>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466"/>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8">
      <w:start w:val="1"/>
      <w:numFmt w:val="bullet"/>
      <w:lvlText w:val="▪"/>
      <w:pPr>
        <w:ind w:left="6186"/>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abstractNum>
  <w:abstractNum w:abstractNumId="4">
    <w:multiLevelType w:val="hybridMultilevel"/>
    <w:lvl w:ilvl="0">
      <w:start w:val="1"/>
      <w:numFmt w:val="decimal"/>
      <w:lvlText w:val="%1."/>
      <w:pPr>
        <w:ind w:left="358"/>
      </w:pPr>
      <w:rPr>
        <w:rFonts w:cs="Calibri" w:hAnsi="Calibri" w:eastAsia="Calibri" w:ascii="Calibri"/>
        <w:b w:val="0"/>
        <w:i w:val="0"/>
        <w:strike w:val="0"/>
        <w:dstrike w:val="0"/>
        <w:color w:val="000000"/>
        <w:sz w:val="22"/>
        <w:szCs w:val="22"/>
        <w:u w:val="none" w:color="000000"/>
        <w:bdr w:val="none"/>
        <w:shd w:val="clear"/>
        <w:vertAlign w:val="baseline"/>
      </w:rPr>
    </w:lvl>
    <w:lvl w:ilvl="1">
      <w:start w:val="1"/>
      <w:numFmt w:val="lowerLetter"/>
      <w:lvlText w:val="%2"/>
      <w:pPr>
        <w:ind w:left="1080"/>
      </w:pPr>
      <w:rPr>
        <w:rFonts w:cs="Calibri" w:hAnsi="Calibri" w:eastAsia="Calibri" w:ascii="Calibri"/>
        <w:b w:val="0"/>
        <w:i w:val="0"/>
        <w:strike w:val="0"/>
        <w:dstrike w:val="0"/>
        <w:color w:val="000000"/>
        <w:sz w:val="22"/>
        <w:szCs w:val="22"/>
        <w:u w:val="none" w:color="000000"/>
        <w:bdr w:val="none"/>
        <w:shd w:val="clear"/>
        <w:vertAlign w:val="baseline"/>
      </w:rPr>
    </w:lvl>
    <w:lvl w:ilvl="2">
      <w:start w:val="1"/>
      <w:numFmt w:val="lowerRoman"/>
      <w:lvlText w:val="%3"/>
      <w:pPr>
        <w:ind w:left="1800"/>
      </w:pPr>
      <w:rPr>
        <w:rFonts w:cs="Calibri" w:hAnsi="Calibri" w:eastAsia="Calibri" w:ascii="Calibri"/>
        <w:b w:val="0"/>
        <w:i w:val="0"/>
        <w:strike w:val="0"/>
        <w:dstrike w:val="0"/>
        <w:color w:val="000000"/>
        <w:sz w:val="22"/>
        <w:szCs w:val="22"/>
        <w:u w:val="none" w:color="000000"/>
        <w:bdr w:val="none"/>
        <w:shd w:val="clear"/>
        <w:vertAlign w:val="baseline"/>
      </w:rPr>
    </w:lvl>
    <w:lvl w:ilvl="3">
      <w:start w:val="1"/>
      <w:numFmt w:val="decimal"/>
      <w:lvlText w:val="%4"/>
      <w:pPr>
        <w:ind w:left="2520"/>
      </w:pPr>
      <w:rPr>
        <w:rFonts w:cs="Calibri" w:hAnsi="Calibri" w:eastAsia="Calibri" w:ascii="Calibri"/>
        <w:b w:val="0"/>
        <w:i w:val="0"/>
        <w:strike w:val="0"/>
        <w:dstrike w:val="0"/>
        <w:color w:val="000000"/>
        <w:sz w:val="22"/>
        <w:szCs w:val="22"/>
        <w:u w:val="none" w:color="000000"/>
        <w:bdr w:val="none"/>
        <w:shd w:val="clear"/>
        <w:vertAlign w:val="baseline"/>
      </w:rPr>
    </w:lvl>
    <w:lvl w:ilvl="4">
      <w:start w:val="1"/>
      <w:numFmt w:val="lowerLetter"/>
      <w:lvlText w:val="%5"/>
      <w:pPr>
        <w:ind w:left="3240"/>
      </w:pPr>
      <w:rPr>
        <w:rFonts w:cs="Calibri" w:hAnsi="Calibri" w:eastAsia="Calibri" w:ascii="Calibri"/>
        <w:b w:val="0"/>
        <w:i w:val="0"/>
        <w:strike w:val="0"/>
        <w:dstrike w:val="0"/>
        <w:color w:val="000000"/>
        <w:sz w:val="22"/>
        <w:szCs w:val="22"/>
        <w:u w:val="none" w:color="000000"/>
        <w:bdr w:val="none"/>
        <w:shd w:val="clear"/>
        <w:vertAlign w:val="baseline"/>
      </w:rPr>
    </w:lvl>
    <w:lvl w:ilvl="5">
      <w:start w:val="1"/>
      <w:numFmt w:val="lowerRoman"/>
      <w:lvlText w:val="%6"/>
      <w:pPr>
        <w:ind w:left="3960"/>
      </w:pPr>
      <w:rPr>
        <w:rFonts w:cs="Calibri" w:hAnsi="Calibri" w:eastAsia="Calibri" w:ascii="Calibri"/>
        <w:b w:val="0"/>
        <w:i w:val="0"/>
        <w:strike w:val="0"/>
        <w:dstrike w:val="0"/>
        <w:color w:val="000000"/>
        <w:sz w:val="22"/>
        <w:szCs w:val="22"/>
        <w:u w:val="none" w:color="000000"/>
        <w:bdr w:val="none"/>
        <w:shd w:val="clear"/>
        <w:vertAlign w:val="baseline"/>
      </w:rPr>
    </w:lvl>
    <w:lvl w:ilvl="6">
      <w:start w:val="1"/>
      <w:numFmt w:val="decimal"/>
      <w:lvlText w:val="%7"/>
      <w:pPr>
        <w:ind w:left="4680"/>
      </w:pPr>
      <w:rPr>
        <w:rFonts w:cs="Calibri" w:hAnsi="Calibri" w:eastAsia="Calibri" w:ascii="Calibri"/>
        <w:b w:val="0"/>
        <w:i w:val="0"/>
        <w:strike w:val="0"/>
        <w:dstrike w:val="0"/>
        <w:color w:val="000000"/>
        <w:sz w:val="22"/>
        <w:szCs w:val="22"/>
        <w:u w:val="none" w:color="000000"/>
        <w:bdr w:val="none"/>
        <w:shd w:val="clear"/>
        <w:vertAlign w:val="baseline"/>
      </w:rPr>
    </w:lvl>
    <w:lvl w:ilvl="7">
      <w:start w:val="1"/>
      <w:numFmt w:val="lowerLetter"/>
      <w:lvlText w:val="%8"/>
      <w:pPr>
        <w:ind w:left="5400"/>
      </w:pPr>
      <w:rPr>
        <w:rFonts w:cs="Calibri" w:hAnsi="Calibri" w:eastAsia="Calibri" w:ascii="Calibri"/>
        <w:b w:val="0"/>
        <w:i w:val="0"/>
        <w:strike w:val="0"/>
        <w:dstrike w:val="0"/>
        <w:color w:val="000000"/>
        <w:sz w:val="22"/>
        <w:szCs w:val="22"/>
        <w:u w:val="none" w:color="000000"/>
        <w:bdr w:val="none"/>
        <w:shd w:val="clear"/>
        <w:vertAlign w:val="baseline"/>
      </w:rPr>
    </w:lvl>
    <w:lvl w:ilvl="8">
      <w:start w:val="1"/>
      <w:numFmt w:val="lowerRoman"/>
      <w:lvlText w:val="%9"/>
      <w:pPr>
        <w:ind w:left="6120"/>
      </w:pPr>
      <w:rPr>
        <w:rFonts w:cs="Calibri" w:hAnsi="Calibri" w:eastAsia="Calibri" w:ascii="Calibri"/>
        <w:b w:val="0"/>
        <w:i w:val="0"/>
        <w:strike w:val="0"/>
        <w:dstrike w:val="0"/>
        <w:color w:val="000000"/>
        <w:sz w:val="22"/>
        <w:szCs w:val="22"/>
        <w:u w:val="none" w:color="000000"/>
        <w:bdr w:val="none"/>
        <w:shd w:val="clear"/>
        <w:vertAlign w:val="baseline"/>
      </w:rPr>
    </w:lvl>
  </w:abstractNum>
  <w:abstractNum w:abstractNumId="5">
    <w:multiLevelType w:val="hybridMultilevel"/>
    <w:lvl w:ilvl="0">
      <w:start w:val="3"/>
      <w:numFmt w:val="decimal"/>
      <w:lvlText w:val="%1."/>
      <w:pPr>
        <w:ind w:left="285"/>
      </w:pPr>
      <w:rPr>
        <w:rFonts w:cs="Calibri" w:hAnsi="Calibri" w:eastAsia="Calibri" w:ascii="Calibri"/>
        <w:b w:val="1"/>
        <w:bCs/>
        <w:i w:val="0"/>
        <w:strike w:val="0"/>
        <w:dstrike w:val="0"/>
        <w:color w:val="000000"/>
        <w:sz w:val="28"/>
        <w:szCs w:val="28"/>
        <w:u w:val="none" w:color="000000"/>
        <w:bdr w:val="none"/>
        <w:shd w:val="clear"/>
        <w:vertAlign w:val="baseline"/>
      </w:rPr>
    </w:lvl>
    <w:lvl w:ilvl="1">
      <w:start w:val="1"/>
      <w:numFmt w:val="decimal"/>
      <w:lvlText w:val="%2."/>
      <w:pPr>
        <w:ind w:left="709"/>
      </w:pPr>
      <w:rPr>
        <w:rFonts w:cs="Calibri" w:hAnsi="Calibri" w:eastAsia="Calibri" w:ascii="Calibri"/>
        <w:b w:val="0"/>
        <w:i w:val="0"/>
        <w:strike w:val="0"/>
        <w:dstrike w:val="0"/>
        <w:color w:val="000000"/>
        <w:sz w:val="22"/>
        <w:szCs w:val="22"/>
        <w:u w:val="none" w:color="000000"/>
        <w:bdr w:val="none"/>
        <w:shd w:val="clear"/>
        <w:vertAlign w:val="baseline"/>
      </w:rPr>
    </w:lvl>
    <w:lvl w:ilvl="2">
      <w:start w:val="1"/>
      <w:numFmt w:val="lowerRoman"/>
      <w:lvlText w:val="%3"/>
      <w:pPr>
        <w:ind w:left="1440"/>
      </w:pPr>
      <w:rPr>
        <w:rFonts w:cs="Calibri" w:hAnsi="Calibri" w:eastAsia="Calibri" w:ascii="Calibri"/>
        <w:b w:val="0"/>
        <w:i w:val="0"/>
        <w:strike w:val="0"/>
        <w:dstrike w:val="0"/>
        <w:color w:val="000000"/>
        <w:sz w:val="22"/>
        <w:szCs w:val="22"/>
        <w:u w:val="none" w:color="000000"/>
        <w:bdr w:val="none"/>
        <w:shd w:val="clear"/>
        <w:vertAlign w:val="baseline"/>
      </w:rPr>
    </w:lvl>
    <w:lvl w:ilvl="3">
      <w:start w:val="1"/>
      <w:numFmt w:val="decimal"/>
      <w:lvlText w:val="%4"/>
      <w:pPr>
        <w:ind w:left="2160"/>
      </w:pPr>
      <w:rPr>
        <w:rFonts w:cs="Calibri" w:hAnsi="Calibri" w:eastAsia="Calibri" w:ascii="Calibri"/>
        <w:b w:val="0"/>
        <w:i w:val="0"/>
        <w:strike w:val="0"/>
        <w:dstrike w:val="0"/>
        <w:color w:val="000000"/>
        <w:sz w:val="22"/>
        <w:szCs w:val="22"/>
        <w:u w:val="none" w:color="000000"/>
        <w:bdr w:val="none"/>
        <w:shd w:val="clear"/>
        <w:vertAlign w:val="baseline"/>
      </w:rPr>
    </w:lvl>
    <w:lvl w:ilvl="4">
      <w:start w:val="1"/>
      <w:numFmt w:val="lowerLetter"/>
      <w:lvlText w:val="%5"/>
      <w:pPr>
        <w:ind w:left="2880"/>
      </w:pPr>
      <w:rPr>
        <w:rFonts w:cs="Calibri" w:hAnsi="Calibri" w:eastAsia="Calibri" w:ascii="Calibri"/>
        <w:b w:val="0"/>
        <w:i w:val="0"/>
        <w:strike w:val="0"/>
        <w:dstrike w:val="0"/>
        <w:color w:val="000000"/>
        <w:sz w:val="22"/>
        <w:szCs w:val="22"/>
        <w:u w:val="none" w:color="000000"/>
        <w:bdr w:val="none"/>
        <w:shd w:val="clear"/>
        <w:vertAlign w:val="baseline"/>
      </w:rPr>
    </w:lvl>
    <w:lvl w:ilvl="5">
      <w:start w:val="1"/>
      <w:numFmt w:val="lowerRoman"/>
      <w:lvlText w:val="%6"/>
      <w:pPr>
        <w:ind w:left="3600"/>
      </w:pPr>
      <w:rPr>
        <w:rFonts w:cs="Calibri" w:hAnsi="Calibri" w:eastAsia="Calibri" w:ascii="Calibri"/>
        <w:b w:val="0"/>
        <w:i w:val="0"/>
        <w:strike w:val="0"/>
        <w:dstrike w:val="0"/>
        <w:color w:val="000000"/>
        <w:sz w:val="22"/>
        <w:szCs w:val="22"/>
        <w:u w:val="none" w:color="000000"/>
        <w:bdr w:val="none"/>
        <w:shd w:val="clear"/>
        <w:vertAlign w:val="baseline"/>
      </w:rPr>
    </w:lvl>
    <w:lvl w:ilvl="6">
      <w:start w:val="1"/>
      <w:numFmt w:val="decimal"/>
      <w:lvlText w:val="%7"/>
      <w:pPr>
        <w:ind w:left="4320"/>
      </w:pPr>
      <w:rPr>
        <w:rFonts w:cs="Calibri" w:hAnsi="Calibri" w:eastAsia="Calibri" w:ascii="Calibri"/>
        <w:b w:val="0"/>
        <w:i w:val="0"/>
        <w:strike w:val="0"/>
        <w:dstrike w:val="0"/>
        <w:color w:val="000000"/>
        <w:sz w:val="22"/>
        <w:szCs w:val="22"/>
        <w:u w:val="none" w:color="000000"/>
        <w:bdr w:val="none"/>
        <w:shd w:val="clear"/>
        <w:vertAlign w:val="baseline"/>
      </w:rPr>
    </w:lvl>
    <w:lvl w:ilvl="7">
      <w:start w:val="1"/>
      <w:numFmt w:val="lowerLetter"/>
      <w:lvlText w:val="%8"/>
      <w:pPr>
        <w:ind w:left="5040"/>
      </w:pPr>
      <w:rPr>
        <w:rFonts w:cs="Calibri" w:hAnsi="Calibri" w:eastAsia="Calibri" w:ascii="Calibri"/>
        <w:b w:val="0"/>
        <w:i w:val="0"/>
        <w:strike w:val="0"/>
        <w:dstrike w:val="0"/>
        <w:color w:val="000000"/>
        <w:sz w:val="22"/>
        <w:szCs w:val="22"/>
        <w:u w:val="none" w:color="000000"/>
        <w:bdr w:val="none"/>
        <w:shd w:val="clear"/>
        <w:vertAlign w:val="baseline"/>
      </w:rPr>
    </w:lvl>
    <w:lvl w:ilvl="8">
      <w:start w:val="1"/>
      <w:numFmt w:val="lowerRoman"/>
      <w:lvlText w:val="%9"/>
      <w:pPr>
        <w:ind w:left="5760"/>
      </w:pPr>
      <w:rPr>
        <w:rFonts w:cs="Calibri" w:hAnsi="Calibri" w:eastAsia="Calibri" w:ascii="Calibri"/>
        <w:b w:val="0"/>
        <w:i w:val="0"/>
        <w:strike w:val="0"/>
        <w:dstrike w:val="0"/>
        <w:color w:val="000000"/>
        <w:sz w:val="22"/>
        <w:szCs w:val="22"/>
        <w:u w:val="none" w:color="000000"/>
        <w:bdr w:val="none"/>
        <w:shd w:val="clear"/>
        <w:vertAlign w:val="baseline"/>
      </w:rPr>
    </w:lvl>
  </w:abstractNum>
  <w:abstractNum w:abstractNumId="6">
    <w:multiLevelType w:val="hybridMultilevel"/>
    <w:lvl w:ilvl="0">
      <w:start w:val="1"/>
      <w:numFmt w:val="bullet"/>
      <w:lvlText w:val="•"/>
      <w:pPr>
        <w:ind w:left="360"/>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08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2">
      <w:start w:val="1"/>
      <w:numFmt w:val="bullet"/>
      <w:lvlText w:val="▪"/>
      <w:pPr>
        <w:ind w:left="180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24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5">
      <w:start w:val="1"/>
      <w:numFmt w:val="bullet"/>
      <w:lvlText w:val="▪"/>
      <w:pPr>
        <w:ind w:left="396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40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8">
      <w:start w:val="1"/>
      <w:numFmt w:val="bullet"/>
      <w:lvlText w:val="▪"/>
      <w:pPr>
        <w:ind w:left="612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abstractNum>
  <w:abstractNum w:abstractNumId="7">
    <w:multiLevelType w:val="hybridMultilevel"/>
    <w:lvl w:ilvl="0">
      <w:start w:val="1"/>
      <w:numFmt w:val="bullet"/>
      <w:lvlText w:val="•"/>
      <w:pPr>
        <w:ind w:left="360"/>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08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2">
      <w:start w:val="1"/>
      <w:numFmt w:val="bullet"/>
      <w:lvlText w:val="▪"/>
      <w:pPr>
        <w:ind w:left="180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24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5">
      <w:start w:val="1"/>
      <w:numFmt w:val="bullet"/>
      <w:lvlText w:val="▪"/>
      <w:pPr>
        <w:ind w:left="396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40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8">
      <w:start w:val="1"/>
      <w:numFmt w:val="bullet"/>
      <w:lvlText w:val="▪"/>
      <w:pPr>
        <w:ind w:left="612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abstractNum>
  <w:abstractNum w:abstractNumId="8">
    <w:multiLevelType w:val="hybridMultilevel"/>
    <w:lvl w:ilvl="0">
      <w:start w:val="3"/>
      <w:numFmt w:val="upperRoman"/>
      <w:lvlText w:val="%1."/>
      <w:pPr>
        <w:ind w:left="720"/>
      </w:pPr>
      <w:rPr>
        <w:rFonts w:cs="Century Gothic" w:hAnsi="Century Gothic" w:eastAsia="Century Gothic" w:ascii="Century Gothic"/>
        <w:b w:val="1"/>
        <w:bCs/>
        <w:i w:val="0"/>
        <w:strike w:val="0"/>
        <w:dstrike w:val="0"/>
        <w:color w:val="000000"/>
        <w:sz w:val="28"/>
        <w:szCs w:val="28"/>
        <w:u w:val="none" w:color="000000"/>
        <w:bdr w:val="none"/>
        <w:shd w:val="clear"/>
        <w:vertAlign w:val="baseline"/>
      </w:rPr>
    </w:lvl>
    <w:lvl w:ilvl="1">
      <w:start w:val="1"/>
      <w:numFmt w:val="lowerLetter"/>
      <w:lvlText w:val="%2"/>
      <w:pPr>
        <w:ind w:left="1080"/>
      </w:pPr>
      <w:rPr>
        <w:rFonts w:cs="Century Gothic" w:hAnsi="Century Gothic" w:eastAsia="Century Gothic" w:ascii="Century Gothic"/>
        <w:b w:val="1"/>
        <w:bCs/>
        <w:i w:val="0"/>
        <w:strike w:val="0"/>
        <w:dstrike w:val="0"/>
        <w:color w:val="000000"/>
        <w:sz w:val="28"/>
        <w:szCs w:val="28"/>
        <w:u w:val="none" w:color="000000"/>
        <w:bdr w:val="none"/>
        <w:shd w:val="clear"/>
        <w:vertAlign w:val="baseline"/>
      </w:rPr>
    </w:lvl>
    <w:lvl w:ilvl="2">
      <w:start w:val="1"/>
      <w:numFmt w:val="lowerRoman"/>
      <w:lvlText w:val="%3"/>
      <w:pPr>
        <w:ind w:left="1800"/>
      </w:pPr>
      <w:rPr>
        <w:rFonts w:cs="Century Gothic" w:hAnsi="Century Gothic" w:eastAsia="Century Gothic" w:ascii="Century Gothic"/>
        <w:b w:val="1"/>
        <w:bCs/>
        <w:i w:val="0"/>
        <w:strike w:val="0"/>
        <w:dstrike w:val="0"/>
        <w:color w:val="000000"/>
        <w:sz w:val="28"/>
        <w:szCs w:val="28"/>
        <w:u w:val="none" w:color="000000"/>
        <w:bdr w:val="none"/>
        <w:shd w:val="clear"/>
        <w:vertAlign w:val="baseline"/>
      </w:rPr>
    </w:lvl>
    <w:lvl w:ilvl="3">
      <w:start w:val="1"/>
      <w:numFmt w:val="decimal"/>
      <w:lvlText w:val="%4"/>
      <w:pPr>
        <w:ind w:left="2520"/>
      </w:pPr>
      <w:rPr>
        <w:rFonts w:cs="Century Gothic" w:hAnsi="Century Gothic" w:eastAsia="Century Gothic" w:ascii="Century Gothic"/>
        <w:b w:val="1"/>
        <w:bCs/>
        <w:i w:val="0"/>
        <w:strike w:val="0"/>
        <w:dstrike w:val="0"/>
        <w:color w:val="000000"/>
        <w:sz w:val="28"/>
        <w:szCs w:val="28"/>
        <w:u w:val="none" w:color="000000"/>
        <w:bdr w:val="none"/>
        <w:shd w:val="clear"/>
        <w:vertAlign w:val="baseline"/>
      </w:rPr>
    </w:lvl>
    <w:lvl w:ilvl="4">
      <w:start w:val="1"/>
      <w:numFmt w:val="lowerLetter"/>
      <w:lvlText w:val="%5"/>
      <w:pPr>
        <w:ind w:left="3240"/>
      </w:pPr>
      <w:rPr>
        <w:rFonts w:cs="Century Gothic" w:hAnsi="Century Gothic" w:eastAsia="Century Gothic" w:ascii="Century Gothic"/>
        <w:b w:val="1"/>
        <w:bCs/>
        <w:i w:val="0"/>
        <w:strike w:val="0"/>
        <w:dstrike w:val="0"/>
        <w:color w:val="000000"/>
        <w:sz w:val="28"/>
        <w:szCs w:val="28"/>
        <w:u w:val="none" w:color="000000"/>
        <w:bdr w:val="none"/>
        <w:shd w:val="clear"/>
        <w:vertAlign w:val="baseline"/>
      </w:rPr>
    </w:lvl>
    <w:lvl w:ilvl="5">
      <w:start w:val="1"/>
      <w:numFmt w:val="lowerRoman"/>
      <w:lvlText w:val="%6"/>
      <w:pPr>
        <w:ind w:left="3960"/>
      </w:pPr>
      <w:rPr>
        <w:rFonts w:cs="Century Gothic" w:hAnsi="Century Gothic" w:eastAsia="Century Gothic" w:ascii="Century Gothic"/>
        <w:b w:val="1"/>
        <w:bCs/>
        <w:i w:val="0"/>
        <w:strike w:val="0"/>
        <w:dstrike w:val="0"/>
        <w:color w:val="000000"/>
        <w:sz w:val="28"/>
        <w:szCs w:val="28"/>
        <w:u w:val="none" w:color="000000"/>
        <w:bdr w:val="none"/>
        <w:shd w:val="clear"/>
        <w:vertAlign w:val="baseline"/>
      </w:rPr>
    </w:lvl>
    <w:lvl w:ilvl="6">
      <w:start w:val="1"/>
      <w:numFmt w:val="decimal"/>
      <w:lvlText w:val="%7"/>
      <w:pPr>
        <w:ind w:left="4680"/>
      </w:pPr>
      <w:rPr>
        <w:rFonts w:cs="Century Gothic" w:hAnsi="Century Gothic" w:eastAsia="Century Gothic" w:ascii="Century Gothic"/>
        <w:b w:val="1"/>
        <w:bCs/>
        <w:i w:val="0"/>
        <w:strike w:val="0"/>
        <w:dstrike w:val="0"/>
        <w:color w:val="000000"/>
        <w:sz w:val="28"/>
        <w:szCs w:val="28"/>
        <w:u w:val="none" w:color="000000"/>
        <w:bdr w:val="none"/>
        <w:shd w:val="clear"/>
        <w:vertAlign w:val="baseline"/>
      </w:rPr>
    </w:lvl>
    <w:lvl w:ilvl="7">
      <w:start w:val="1"/>
      <w:numFmt w:val="lowerLetter"/>
      <w:lvlText w:val="%8"/>
      <w:pPr>
        <w:ind w:left="5400"/>
      </w:pPr>
      <w:rPr>
        <w:rFonts w:cs="Century Gothic" w:hAnsi="Century Gothic" w:eastAsia="Century Gothic" w:ascii="Century Gothic"/>
        <w:b w:val="1"/>
        <w:bCs/>
        <w:i w:val="0"/>
        <w:strike w:val="0"/>
        <w:dstrike w:val="0"/>
        <w:color w:val="000000"/>
        <w:sz w:val="28"/>
        <w:szCs w:val="28"/>
        <w:u w:val="none" w:color="000000"/>
        <w:bdr w:val="none"/>
        <w:shd w:val="clear"/>
        <w:vertAlign w:val="baseline"/>
      </w:rPr>
    </w:lvl>
    <w:lvl w:ilvl="8">
      <w:start w:val="1"/>
      <w:numFmt w:val="lowerRoman"/>
      <w:lvlText w:val="%9"/>
      <w:pPr>
        <w:ind w:left="6120"/>
      </w:pPr>
      <w:rPr>
        <w:rFonts w:cs="Century Gothic" w:hAnsi="Century Gothic" w:eastAsia="Century Gothic" w:ascii="Century Gothic"/>
        <w:b w:val="1"/>
        <w:bCs/>
        <w:i w:val="0"/>
        <w:strike w:val="0"/>
        <w:dstrike w:val="0"/>
        <w:color w:val="000000"/>
        <w:sz w:val="28"/>
        <w:szCs w:val="28"/>
        <w:u w:val="none" w:color="000000"/>
        <w:bdr w:val="none"/>
        <w:shd w:val="clear"/>
        <w:vertAlign w:val="baseline"/>
      </w:rPr>
    </w:lvl>
  </w:abstractNum>
  <w:abstractNum w:abstractNumId="9">
    <w:multiLevelType w:val="hybridMultilevel"/>
    <w:lvl w:ilvl="0">
      <w:start w:val="1"/>
      <w:numFmt w:val="lowerLetter"/>
      <w:lvlText w:val="%1)"/>
      <w:pPr>
        <w:ind w:left="360"/>
      </w:pPr>
      <w:rPr>
        <w:rFonts w:cs="Calibri" w:hAnsi="Calibri" w:eastAsia="Calibri" w:ascii="Calibri"/>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Calibri" w:hAnsi="Calibri" w:eastAsia="Calibri" w:ascii="Calibri"/>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Calibri" w:hAnsi="Calibri" w:eastAsia="Calibri" w:ascii="Calibri"/>
        <w:b w:val="0"/>
        <w:i w:val="0"/>
        <w:strike w:val="0"/>
        <w:dstrike w:val="0"/>
        <w:color w:val="000000"/>
        <w:sz w:val="20"/>
        <w:szCs w:val="20"/>
        <w:u w:val="none" w:color="000000"/>
        <w:bdr w:val="none"/>
        <w:shd w:val="clear"/>
        <w:vertAlign w:val="baseline"/>
      </w:rPr>
    </w:lvl>
    <w:lvl w:ilvl="3">
      <w:start w:val="1"/>
      <w:numFmt w:val="decimal"/>
      <w:lvlText w:val="%4"/>
      <w:pPr>
        <w:ind w:left="2520"/>
      </w:pPr>
      <w:rPr>
        <w:rFonts w:cs="Calibri" w:hAnsi="Calibri" w:eastAsia="Calibri" w:ascii="Calibri"/>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Calibri" w:hAnsi="Calibri" w:eastAsia="Calibri" w:ascii="Calibri"/>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Calibri" w:hAnsi="Calibri" w:eastAsia="Calibri" w:ascii="Calibri"/>
        <w:b w:val="0"/>
        <w:i w:val="0"/>
        <w:strike w:val="0"/>
        <w:dstrike w:val="0"/>
        <w:color w:val="000000"/>
        <w:sz w:val="20"/>
        <w:szCs w:val="20"/>
        <w:u w:val="none" w:color="000000"/>
        <w:bdr w:val="none"/>
        <w:shd w:val="clear"/>
        <w:vertAlign w:val="baseline"/>
      </w:rPr>
    </w:lvl>
    <w:lvl w:ilvl="6">
      <w:start w:val="1"/>
      <w:numFmt w:val="decimal"/>
      <w:lvlText w:val="%7"/>
      <w:pPr>
        <w:ind w:left="4680"/>
      </w:pPr>
      <w:rPr>
        <w:rFonts w:cs="Calibri" w:hAnsi="Calibri" w:eastAsia="Calibri" w:ascii="Calibri"/>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Calibri" w:hAnsi="Calibri" w:eastAsia="Calibri" w:ascii="Calibri"/>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Calibri" w:hAnsi="Calibri" w:eastAsia="Calibri" w:ascii="Calibri"/>
        <w:b w:val="0"/>
        <w:i w:val="0"/>
        <w:strike w:val="0"/>
        <w:dstrike w:val="0"/>
        <w:color w:val="000000"/>
        <w:sz w:val="20"/>
        <w:szCs w:val="20"/>
        <w:u w:val="none" w:color="000000"/>
        <w:bdr w:val="none"/>
        <w:shd w:val="clear"/>
        <w:vertAlign w:val="baseline"/>
      </w:rPr>
    </w:lvl>
  </w:abstractNum>
  <w:abstractNum w:abstractNumId="10">
    <w:multiLevelType w:val="hybridMultilevel"/>
    <w:lvl w:ilvl="0">
      <w:start w:val="1"/>
      <w:numFmt w:val="bullet"/>
      <w:lvlText w:val="•"/>
      <w:pPr>
        <w:ind w:left="427"/>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222"/>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2">
      <w:start w:val="1"/>
      <w:numFmt w:val="bullet"/>
      <w:lvlText w:val="▪"/>
      <w:pPr>
        <w:ind w:left="1942"/>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3">
      <w:start w:val="1"/>
      <w:numFmt w:val="bullet"/>
      <w:lvlText w:val="•"/>
      <w:pPr>
        <w:ind w:left="2662"/>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382"/>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5">
      <w:start w:val="1"/>
      <w:numFmt w:val="bullet"/>
      <w:lvlText w:val="▪"/>
      <w:pPr>
        <w:ind w:left="4102"/>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6">
      <w:start w:val="1"/>
      <w:numFmt w:val="bullet"/>
      <w:lvlText w:val="•"/>
      <w:pPr>
        <w:ind w:left="4822"/>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542"/>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8">
      <w:start w:val="1"/>
      <w:numFmt w:val="bullet"/>
      <w:lvlText w:val="▪"/>
      <w:pPr>
        <w:ind w:left="6262"/>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abstractNum>
  <w:abstractNum w:abstractNumId="11">
    <w:multiLevelType w:val="hybridMultilevel"/>
    <w:lvl w:ilvl="0">
      <w:start w:val="1"/>
      <w:numFmt w:val="bullet"/>
      <w:lvlText w:val="•"/>
      <w:pPr>
        <w:ind w:left="440"/>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267"/>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2">
      <w:start w:val="1"/>
      <w:numFmt w:val="bullet"/>
      <w:lvlText w:val="▪"/>
      <w:pPr>
        <w:ind w:left="1987"/>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3">
      <w:start w:val="1"/>
      <w:numFmt w:val="bullet"/>
      <w:lvlText w:val="•"/>
      <w:pPr>
        <w:ind w:left="2707"/>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427"/>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5">
      <w:start w:val="1"/>
      <w:numFmt w:val="bullet"/>
      <w:lvlText w:val="▪"/>
      <w:pPr>
        <w:ind w:left="4147"/>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6">
      <w:start w:val="1"/>
      <w:numFmt w:val="bullet"/>
      <w:lvlText w:val="•"/>
      <w:pPr>
        <w:ind w:left="4867"/>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587"/>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8">
      <w:start w:val="1"/>
      <w:numFmt w:val="bullet"/>
      <w:lvlText w:val="▪"/>
      <w:pPr>
        <w:ind w:left="6307"/>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evenAndOddHeaders/>
  <w:footnotePr>
    <w:numRestart w:val="eachPage"/>
    <w:footnote w:id="-1"/>
    <w:footnote w:id="0"/>
  </w:footnotePr>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normal" w:default="true">
    <w:name w:val="Normal"/>
    <w:qFormat/>
    <w:pPr>
      <w:bidi w:val="0"/>
      <w:spacing w:before="0" w:after="55" w:line="228" w:lineRule="auto"/>
      <w:ind w:left="10" w:right="59" w:hanging="10"/>
      <w:jc w:val="both"/>
    </w:pPr>
    <w:rPr>
      <w:rFonts w:cs="Calibri" w:hAnsi="Calibri" w:eastAsia="Calibri" w:ascii="Calibri"/>
      <w:color w:val="000000"/>
      <w:sz w:val="22"/>
    </w:rPr>
  </w:style>
  <w:style w:type="paragraph" w:styleId="heading2">
    <w:name w:val="Heading 2"/>
    <w:next w:val="normal"/>
    <w:link w:val="heading2Char"/>
    <w:uiPriority w:val="9"/>
    <w:unhideWhenUsed/>
    <w:qFormat/>
    <w:pPr>
      <w:keepNext/>
      <w:keepLines/>
      <w:shd w:val="clear" w:color="auto" w:fill="bebebe"/>
      <w:bidi w:val="0"/>
      <w:spacing w:before="0" w:after="20" w:line="259" w:lineRule="auto"/>
      <w:ind w:left="10" w:right="0" w:hanging="10"/>
      <w:jc w:val="left"/>
      <w:outlineLvl w:val="1"/>
    </w:pPr>
    <w:rPr>
      <w:rFonts w:cs="Calibri" w:hAnsi="Calibri" w:eastAsia="Calibri" w:ascii="Calibri"/>
      <w:b w:val="1"/>
      <w:color w:val="000000"/>
      <w:sz w:val="22"/>
    </w:rPr>
  </w:style>
  <w:style w:type="character" w:styleId="heading2Char">
    <w:name w:val="Heading 2 Char"/>
    <w:link w:val="heading2"/>
    <w:rPr>
      <w:rFonts w:cs="Calibri" w:hAnsi="Calibri" w:eastAsia="Calibri" w:ascii="Calibri"/>
      <w:b w:val="1"/>
      <w:color w:val="000000"/>
      <w:sz w:val="22"/>
    </w:rPr>
  </w:style>
  <w:style w:type="paragraph" w:styleId="heading1">
    <w:name w:val="Heading 1"/>
    <w:next w:val="normal"/>
    <w:link w:val="heading1Char"/>
    <w:uiPriority w:val="9"/>
    <w:unhideWhenUsed/>
    <w:qFormat/>
    <w:pPr>
      <w:keepNext/>
      <w:keepLines/>
      <w:bidi w:val="0"/>
      <w:spacing w:before="0" w:after="0" w:line="259" w:lineRule="auto"/>
      <w:ind w:left="10" w:right="0" w:hanging="10"/>
      <w:jc w:val="left"/>
      <w:outlineLvl w:val="0"/>
    </w:pPr>
    <w:rPr>
      <w:rFonts w:cs="Calibri" w:hAnsi="Calibri" w:eastAsia="Calibri" w:ascii="Calibri"/>
      <w:b w:val="1"/>
      <w:color w:val="000000"/>
      <w:sz w:val="24"/>
    </w:rPr>
  </w:style>
  <w:style w:type="character" w:styleId="heading1Char">
    <w:name w:val="Heading 1 Char"/>
    <w:link w:val="heading1"/>
    <w:rPr>
      <w:rFonts w:cs="Calibri" w:hAnsi="Calibri" w:eastAsia="Calibri" w:ascii="Calibri"/>
      <w:b w:val="1"/>
      <w:color w:val="000000"/>
      <w:sz w:val="24"/>
    </w:rPr>
  </w:style>
  <w:style w:type="paragraph" w:styleId="footnote description">
    <w:name w:val="footnote description"/>
    <w:next w:val="normal"/>
    <w:link w:val="footnote descriptionChar"/>
    <w:hidden/>
    <w:pPr>
      <w:bidi w:val="0"/>
      <w:spacing w:before="0" w:after="165" w:line="259" w:lineRule="auto"/>
      <w:ind w:left="67" w:right="0" w:firstLine="0"/>
      <w:jc w:val="left"/>
    </w:pPr>
    <w:rPr>
      <w:rFonts w:cs="Arial" w:hAnsi="Arial" w:eastAsia="Arial" w:ascii="Arial"/>
      <w:color w:val="000000"/>
      <w:sz w:val="20"/>
      <w:vertAlign w:val="superscript"/>
    </w:rPr>
  </w:style>
  <w:style w:type="character" w:styleId="footnote descriptionChar">
    <w:name w:val="footnote description Char"/>
    <w:link w:val="footnote description"/>
    <w:rPr>
      <w:rFonts w:cs="Arial" w:hAnsi="Arial" w:eastAsia="Arial" w:ascii="Arial"/>
      <w:color w:val="000000"/>
      <w:sz w:val="20"/>
      <w:vertAlign w:val="superscript"/>
    </w:rPr>
  </w:style>
  <w:style w:type="paragraph" w:styleId="heading3">
    <w:name w:val="Heading 3"/>
    <w:next w:val="normal"/>
    <w:link w:val="heading3Char"/>
    <w:uiPriority w:val="9"/>
    <w:unhideWhenUsed/>
    <w:qFormat/>
    <w:pPr>
      <w:keepNext/>
      <w:keepLines/>
      <w:bidi w:val="0"/>
      <w:spacing w:before="0" w:after="0" w:line="259" w:lineRule="auto"/>
      <w:ind w:left="10" w:right="0" w:hanging="10"/>
      <w:jc w:val="left"/>
      <w:outlineLvl w:val="2"/>
    </w:pPr>
    <w:rPr>
      <w:rFonts w:cs="Calibri" w:hAnsi="Calibri" w:eastAsia="Calibri" w:ascii="Calibri"/>
      <w:b w:val="1"/>
      <w:color w:val="000000"/>
      <w:sz w:val="22"/>
    </w:rPr>
  </w:style>
  <w:style w:type="character" w:styleId="heading3Char">
    <w:name w:val="Heading 3 Char"/>
    <w:link w:val="heading3"/>
    <w:rPr>
      <w:rFonts w:cs="Calibri" w:hAnsi="Calibri" w:eastAsia="Calibri" w:ascii="Calibri"/>
      <w:b w:val="1"/>
      <w:color w:val="000000"/>
      <w:sz w:val="22"/>
    </w:rPr>
  </w:style>
  <w:style w:type="paragraph" w:styleId="heading4">
    <w:name w:val="Heading 4"/>
    <w:next w:val="normal"/>
    <w:link w:val="heading4Char"/>
    <w:uiPriority w:val="9"/>
    <w:unhideWhenUsed/>
    <w:qFormat/>
    <w:pPr>
      <w:keepNext/>
      <w:keepLines/>
      <w:bidi w:val="0"/>
      <w:spacing w:before="0" w:after="0" w:line="259" w:lineRule="auto"/>
      <w:ind w:left="10" w:right="0" w:hanging="10"/>
      <w:jc w:val="left"/>
      <w:outlineLvl w:val="3"/>
    </w:pPr>
    <w:rPr>
      <w:rFonts w:cs="Calibri" w:hAnsi="Calibri" w:eastAsia="Calibri" w:ascii="Calibri"/>
      <w:b w:val="1"/>
      <w:color w:val="000000"/>
      <w:sz w:val="22"/>
    </w:rPr>
  </w:style>
  <w:style w:type="character" w:styleId="heading4Char">
    <w:name w:val="Heading 4 Char"/>
    <w:link w:val="heading4"/>
    <w:rPr>
      <w:rFonts w:cs="Calibri" w:hAnsi="Calibri" w:eastAsia="Calibri" w:ascii="Calibri"/>
      <w:b w:val="1"/>
      <w:color w:val="000000"/>
      <w:sz w:val="22"/>
    </w:rPr>
  </w:style>
  <w:style w:type="character" w:styleId="footnote mark">
    <w:name w:val="footnote mark"/>
    <w:hidden/>
    <w:rPr>
      <w:rFonts w:cs="Arial" w:hAnsi="Arial" w:eastAsia="Arial" w:ascii="Arial"/>
      <w:color w:val="000000"/>
      <w:sz w:val="20"/>
      <w:vertAlign w:val="superscript"/>
    </w:rPr>
  </w:style>
  <w:style w:type="table" w:styleId="TableGrid">
    <w:name w:val="TableGrid"/>
    <w:pPr>
      <w:spacing w:lineRule="auto" w:line="240" w:after="0"/>
    </w:pPr>
  </w:style>
</w:styles>
</file>

<file path=word/_rels/document.xml.rels><?xml version="1.0" encoding="UTF-8" standalone="yes"?>
<Relationships xmlns="http://schemas.openxmlformats.org/package/2006/relationships"><Relationship Id="rId8" Type="http://schemas.openxmlformats.org/officeDocument/2006/relationships/footer" Target="footer8.xml"/><Relationship Id="rId13" Type="http://schemas.openxmlformats.org/officeDocument/2006/relationships/footer" Target="footer13.xml"/><Relationship Id="rId18" Type="http://schemas.openxmlformats.org/officeDocument/2006/relationships/image" Target="media/image14.png"/><Relationship Id="rId3" Type="http://schemas.openxmlformats.org/officeDocument/2006/relationships/footer" Target="footer3.xml"/><Relationship Id="rsFootnotesId" Type="http://schemas.openxmlformats.org/officeDocument/2006/relationships/footnotes" Target="footnotes.xml"/><Relationship Id="rsSettingsId" Type="http://schemas.openxmlformats.org/officeDocument/2006/relationships/settings" Target="settings.xml"/><Relationship Id="rId21" Type="http://schemas.openxmlformats.org/officeDocument/2006/relationships/customXml" Target="../customXml/item3.xml"/><Relationship Id="rId17" Type="http://schemas.openxmlformats.org/officeDocument/2006/relationships/image" Target="media/image13.png"/><Relationship Id="rId12" Type="http://schemas.openxmlformats.org/officeDocument/2006/relationships/footer" Target="footer12.xml"/><Relationship Id="rId7" Type="http://schemas.openxmlformats.org/officeDocument/2006/relationships/footer" Target="footer7.xml"/><Relationship Id="rId2"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footer" Target="footer1.xml"/><Relationship Id="rId11" Type="http://schemas.openxmlformats.org/officeDocument/2006/relationships/footer" Target="footer11.xml"/><Relationship Id="rId6" Type="http://schemas.openxmlformats.org/officeDocument/2006/relationships/footer" Target="footer6.xml"/><Relationship Id="rId15" Type="http://schemas.openxmlformats.org/officeDocument/2006/relationships/footer" Target="footer15.xml"/><Relationship Id="rId5" Type="http://schemas.openxmlformats.org/officeDocument/2006/relationships/footer" Target="footer5.xml"/><Relationship Id="rId23" Type="http://schemas.openxmlformats.org/officeDocument/2006/relationships/customXml" Target="../customXml/item5.xml"/><Relationship Id="rsNumberingId" Type="http://schemas.openxmlformats.org/officeDocument/2006/relationships/numbering" Target="numbering.xml"/><Relationship Id="rsStylesId" Type="http://schemas.openxmlformats.org/officeDocument/2006/relationships/styles" Target="styles.xml"/><Relationship Id="rId10" Type="http://schemas.openxmlformats.org/officeDocument/2006/relationships/footer" Target="footer10.xml"/><Relationship Id="rId19" Type="http://schemas.openxmlformats.org/officeDocument/2006/relationships/customXml" Target="../customXml/item1.xml"/><Relationship Id="rId14" Type="http://schemas.openxmlformats.org/officeDocument/2006/relationships/footer" Target="footer14.xml"/><Relationship Id="rId9" Type="http://schemas.openxmlformats.org/officeDocument/2006/relationships/footer" Target="footer9.xml"/><Relationship Id="rId4" Type="http://schemas.openxmlformats.org/officeDocument/2006/relationships/footer" Target="footer4.xml"/><Relationship Id="rId22"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2015-09-28T11:00:00+00:00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1632</Value>
      <Value>1</Value>
      <Value>763</Value>
    </TaxCatchAll>
    <c4e2ab2cc9354bbf9064eeb465a566ea xmlns="1ed4137b-41b2-488b-8250-6d369ec27664">
      <Terms xmlns="http://schemas.microsoft.com/office/infopath/2007/PartnerControls"/>
    </c4e2ab2cc9354bbf9064eeb465a566ea>
    <UndpProjectNo xmlns="1ed4137b-41b2-488b-8250-6d369ec27664" xsi:nil="true"/>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SRB</TermName>
          <TermId xmlns="http://schemas.microsoft.com/office/infopath/2007/PartnerControls">dadcb3b9-2841-4674-8ab0-f49e76ee737a</TermId>
        </TermInfo>
      </Terms>
    </gc6531b704974d528487414686b72f6f>
    <_dlc_DocId xmlns="f1161f5b-24a3-4c2d-bc81-44cb9325e8ee">ATLASPDC-4-39564</_dlc_DocId>
    <_dlc_DocIdUrl xmlns="f1161f5b-24a3-4c2d-bc81-44cb9325e8ee">
      <Url>https://info.undp.org/docs/pdc/_layouts/DocIdRedir.aspx?ID=ATLASPDC-4-39564</Url>
      <Description>ATLASPDC-4-39564</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39F8DAB-0D39-4DD9-92C9-2AC2E4AD3040}"/>
</file>

<file path=customXml/itemProps2.xml><?xml version="1.0" encoding="utf-8"?>
<ds:datastoreItem xmlns:ds="http://schemas.openxmlformats.org/officeDocument/2006/customXml" ds:itemID="{E469C0AF-5159-4AA2-9944-94C1E292C275}"/>
</file>

<file path=customXml/itemProps3.xml><?xml version="1.0" encoding="utf-8"?>
<ds:datastoreItem xmlns:ds="http://schemas.openxmlformats.org/officeDocument/2006/customXml" ds:itemID="{8F5D684A-C8E6-4B31-8C5A-C80B9135DB27}"/>
</file>

<file path=customXml/itemProps4.xml><?xml version="1.0" encoding="utf-8"?>
<ds:datastoreItem xmlns:ds="http://schemas.openxmlformats.org/officeDocument/2006/customXml" ds:itemID="{8FAB83C4-1EDB-4178-B073-CEA64B0F1F4D}"/>
</file>

<file path=customXml/itemProps5.xml><?xml version="1.0" encoding="utf-8"?>
<ds:datastoreItem xmlns:ds="http://schemas.openxmlformats.org/officeDocument/2006/customXml" ds:itemID="{0C6FEF8C-F1CD-458C-8C78-59E1637EA1DF}"/>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- 11-08-01 ProDoc Coca-Cola Vlasina Lake.doc</dc:title>
  <dc:subject/>
  <dc:creator>aleksandar.jovanovic</dc:creator>
  <cp:keywords/>
  <dcterms:created xsi:type="dcterms:W3CDTF">2015-09-28T11:49:07Z</dcterms:created>
  <dcterms:modified xsi:type="dcterms:W3CDTF">2015-09-28T11:49:07Z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1632;#SRB|dadcb3b9-2841-4674-8ab0-f49e76ee737a</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
  </property>
  <property fmtid="{D5CDD505-2E9C-101B-9397-08002B2CF9AE}" pid="17" name="_dlc_DocIdItemGuid">
    <vt:lpwstr>cbdcd35a-fc0b-4c19-8b9f-11ecdaa36fb2</vt:lpwstr>
  </property>
  <property fmtid="{D5CDD505-2E9C-101B-9397-08002B2CF9AE}" pid="18" name="URL">
    <vt:lpwstr/>
  </property>
  <property fmtid="{D5CDD505-2E9C-101B-9397-08002B2CF9AE}" pid="19" name="DocumentSetDescription">
    <vt:lpwstr/>
  </property>
</Properties>
</file>